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FD755" w14:textId="77777777" w:rsidR="001E46B0" w:rsidRDefault="00000000" w:rsidP="001E46B0">
      <w:pPr>
        <w:spacing w:after="120"/>
      </w:pPr>
      <w:r>
        <w:t>Version 1.0</w:t>
      </w:r>
    </w:p>
    <w:p w14:paraId="2094FE3F" w14:textId="6CD37015" w:rsidR="00B03211" w:rsidRDefault="00000000" w:rsidP="001E46B0">
      <w:pPr>
        <w:spacing w:after="120"/>
      </w:pPr>
      <w:r>
        <w:t>Effective Date: 21 February 2026</w:t>
      </w:r>
    </w:p>
    <w:p w14:paraId="0EEA826B" w14:textId="77777777" w:rsidR="00B03211" w:rsidRDefault="00000000" w:rsidP="001E46B0">
      <w:pPr>
        <w:spacing w:after="300"/>
      </w:pPr>
      <w:r>
        <w:t>Classification: Internal – Confidential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B03211" w14:paraId="6D318881" w14:textId="77777777">
        <w:trPr>
          <w:tblHeader/>
        </w:trPr>
        <w:tc>
          <w:tcPr>
            <w:tcW w:w="3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599F9F1" w14:textId="77777777" w:rsidR="00B03211" w:rsidRDefault="00000000">
            <w:r>
              <w:rPr>
                <w:b/>
                <w:bCs/>
                <w:color w:val="FFFFFF"/>
              </w:rPr>
              <w:t>Field</w:t>
            </w:r>
          </w:p>
        </w:tc>
        <w:tc>
          <w:tcPr>
            <w:tcW w:w="60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F167FCD" w14:textId="77777777" w:rsidR="00B03211" w:rsidRDefault="00000000">
            <w:r>
              <w:rPr>
                <w:b/>
                <w:bCs/>
                <w:color w:val="FFFFFF"/>
              </w:rPr>
              <w:t>Detail</w:t>
            </w:r>
          </w:p>
        </w:tc>
      </w:tr>
      <w:tr w:rsidR="00B03211" w14:paraId="4A78ECE8" w14:textId="77777777">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04E9D13" w14:textId="77777777" w:rsidR="00B03211" w:rsidRDefault="00000000">
            <w:r>
              <w:rPr>
                <w:color w:val="333333"/>
              </w:rPr>
              <w:t>Document Owner</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2EC9E13" w14:textId="77777777" w:rsidR="00B03211" w:rsidRDefault="00000000">
            <w:r>
              <w:rPr>
                <w:color w:val="333333"/>
              </w:rPr>
              <w:t>Data Protection Lead, Student Radar</w:t>
            </w:r>
          </w:p>
        </w:tc>
      </w:tr>
      <w:tr w:rsidR="00B03211" w14:paraId="2C8858FE" w14:textId="77777777">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256E5B" w14:textId="77777777" w:rsidR="00B03211" w:rsidRDefault="00000000">
            <w:r>
              <w:rPr>
                <w:color w:val="333333"/>
              </w:rPr>
              <w:t>Approved By</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3075D04" w14:textId="77777777" w:rsidR="00B03211" w:rsidRDefault="00000000">
            <w:r>
              <w:rPr>
                <w:color w:val="333333"/>
              </w:rPr>
              <w:t>Stuart Armley-Jones, Director</w:t>
            </w:r>
          </w:p>
        </w:tc>
      </w:tr>
      <w:tr w:rsidR="00B03211" w14:paraId="48EDFEB9" w14:textId="77777777">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5CAC964" w14:textId="77777777" w:rsidR="00B03211" w:rsidRDefault="00000000">
            <w:r>
              <w:rPr>
                <w:color w:val="333333"/>
              </w:rPr>
              <w:t>Review Frequency</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F9CAEE2" w14:textId="77777777" w:rsidR="00B03211" w:rsidRDefault="00000000">
            <w:r>
              <w:rPr>
                <w:color w:val="333333"/>
              </w:rPr>
              <w:t>Annually, or after any material incident or architecture change</w:t>
            </w:r>
          </w:p>
        </w:tc>
      </w:tr>
      <w:tr w:rsidR="00B03211" w14:paraId="712056CD" w14:textId="77777777">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D51EB40" w14:textId="77777777" w:rsidR="00B03211" w:rsidRDefault="00000000">
            <w:r>
              <w:rPr>
                <w:color w:val="333333"/>
              </w:rPr>
              <w:t>Next Review Date</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ABAF39A" w14:textId="77777777" w:rsidR="00B03211" w:rsidRDefault="00000000">
            <w:r>
              <w:rPr>
                <w:color w:val="333333"/>
              </w:rPr>
              <w:t>February 2027</w:t>
            </w:r>
          </w:p>
        </w:tc>
      </w:tr>
      <w:tr w:rsidR="00B03211" w14:paraId="6A55D158" w14:textId="77777777">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0AEDA0E" w14:textId="77777777" w:rsidR="00B03211" w:rsidRDefault="00000000">
            <w:r>
              <w:rPr>
                <w:color w:val="333333"/>
              </w:rPr>
              <w:t>Related Documents</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EF00DFF" w14:textId="77777777" w:rsidR="00B03211" w:rsidRDefault="00000000">
            <w:r>
              <w:rPr>
                <w:color w:val="333333"/>
              </w:rPr>
              <w:t>Data Processing Agreement, Privacy Policy, Incident Response Policy, Acceptable Use Policy</w:t>
            </w:r>
          </w:p>
        </w:tc>
      </w:tr>
    </w:tbl>
    <w:p w14:paraId="794CFCE0" w14:textId="77777777" w:rsidR="00B03211" w:rsidRDefault="00B03211">
      <w:pPr>
        <w:spacing w:after="200"/>
      </w:pPr>
    </w:p>
    <w:p w14:paraId="198E0A66" w14:textId="77777777" w:rsidR="00B03211" w:rsidRDefault="00000000">
      <w:pPr>
        <w:pStyle w:val="Heading1"/>
      </w:pPr>
      <w:r>
        <w:t>1. Purpose</w:t>
      </w:r>
    </w:p>
    <w:p w14:paraId="7931A99E" w14:textId="77777777" w:rsidR="00B03211" w:rsidRDefault="00000000">
      <w:pPr>
        <w:spacing w:after="160" w:line="276" w:lineRule="auto"/>
      </w:pPr>
      <w:r>
        <w:t>This Information Security Policy sets out the technical and organisational measures that Student Radar implements to protect the confidentiality, integrity, and availability of Customer Data and the Platform. It demonstrates compliance with Article 32 of the UK GDPR and supports the commitments made in our Data Processing Agreement (DPA), Privacy Policy, and Master Service Agreement (MSA).</w:t>
      </w:r>
    </w:p>
    <w:p w14:paraId="014505F1" w14:textId="77777777" w:rsidR="00B03211" w:rsidRDefault="00000000">
      <w:pPr>
        <w:spacing w:after="160" w:line="276" w:lineRule="auto"/>
      </w:pPr>
      <w:r>
        <w:t>This document is intended for internal use by Student Radar staff and may be shared with Customers, Data Protection Officers, and procurement teams on request.</w:t>
      </w:r>
    </w:p>
    <w:p w14:paraId="5001A579" w14:textId="77777777" w:rsidR="00B03211" w:rsidRDefault="00000000">
      <w:pPr>
        <w:pStyle w:val="Heading1"/>
      </w:pPr>
      <w:r>
        <w:t>2. Scope</w:t>
      </w:r>
    </w:p>
    <w:p w14:paraId="6A35F244" w14:textId="77777777" w:rsidR="00B03211" w:rsidRDefault="00000000">
      <w:pPr>
        <w:spacing w:after="160" w:line="276" w:lineRule="auto"/>
      </w:pPr>
      <w:r>
        <w:t>This Policy applies to:</w:t>
      </w:r>
    </w:p>
    <w:p w14:paraId="329C01CE" w14:textId="77777777" w:rsidR="00B03211" w:rsidRDefault="00000000" w:rsidP="001E46B0">
      <w:pPr>
        <w:pStyle w:val="ListParagraph"/>
        <w:numPr>
          <w:ilvl w:val="0"/>
          <w:numId w:val="3"/>
        </w:numPr>
        <w:spacing w:after="80" w:line="276" w:lineRule="auto"/>
      </w:pPr>
      <w:r>
        <w:t>All personal data and Customer Data processed by Student Radar</w:t>
      </w:r>
    </w:p>
    <w:p w14:paraId="25FE1347" w14:textId="77777777" w:rsidR="00B03211" w:rsidRDefault="00000000" w:rsidP="001E46B0">
      <w:pPr>
        <w:pStyle w:val="ListParagraph"/>
        <w:numPr>
          <w:ilvl w:val="0"/>
          <w:numId w:val="3"/>
        </w:numPr>
        <w:spacing w:after="80" w:line="276" w:lineRule="auto"/>
      </w:pPr>
      <w:r>
        <w:t>All systems, services, and infrastructure comprising the Student Radar platform</w:t>
      </w:r>
    </w:p>
    <w:p w14:paraId="1F3663A9" w14:textId="77777777" w:rsidR="00B03211" w:rsidRDefault="00000000" w:rsidP="001E46B0">
      <w:pPr>
        <w:pStyle w:val="ListParagraph"/>
        <w:numPr>
          <w:ilvl w:val="0"/>
          <w:numId w:val="3"/>
        </w:numPr>
        <w:spacing w:after="80" w:line="276" w:lineRule="auto"/>
      </w:pPr>
      <w:r>
        <w:t>All Student Radar staff, contractors, and sub-processors with access to Customer Data or platform systems</w:t>
      </w:r>
    </w:p>
    <w:p w14:paraId="049A0E35" w14:textId="77777777" w:rsidR="00B03211" w:rsidRDefault="00000000" w:rsidP="001E46B0">
      <w:pPr>
        <w:pStyle w:val="ListParagraph"/>
        <w:numPr>
          <w:ilvl w:val="0"/>
          <w:numId w:val="3"/>
        </w:numPr>
        <w:spacing w:after="80" w:line="276" w:lineRule="auto"/>
      </w:pPr>
      <w:r>
        <w:t>All environments: production, staging, development, and disaster recovery</w:t>
      </w:r>
    </w:p>
    <w:p w14:paraId="251FC97E" w14:textId="77777777" w:rsidR="00B03211" w:rsidRDefault="00000000">
      <w:pPr>
        <w:pStyle w:val="Heading1"/>
      </w:pPr>
      <w:r>
        <w:t>3. Security Governance</w:t>
      </w:r>
    </w:p>
    <w:p w14:paraId="4F81B021" w14:textId="77777777" w:rsidR="00B03211" w:rsidRDefault="00000000">
      <w:pPr>
        <w:pStyle w:val="Heading2"/>
      </w:pPr>
      <w:r>
        <w:t>3.1 Roles and Responsibilities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B03211" w14:paraId="0A02BA10" w14:textId="77777777">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3D4EB529" w14:textId="77777777" w:rsidR="00B03211" w:rsidRDefault="00000000">
            <w:r>
              <w:rPr>
                <w:b/>
                <w:bCs/>
                <w:color w:val="FFFFFF"/>
              </w:rPr>
              <w:t>Role</w:t>
            </w:r>
          </w:p>
        </w:tc>
        <w:tc>
          <w:tcPr>
            <w:tcW w:w="62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F88B133" w14:textId="77777777" w:rsidR="00B03211" w:rsidRDefault="00000000">
            <w:r>
              <w:rPr>
                <w:b/>
                <w:bCs/>
                <w:color w:val="FFFFFF"/>
              </w:rPr>
              <w:t>Security Responsibilities</w:t>
            </w:r>
          </w:p>
        </w:tc>
      </w:tr>
      <w:tr w:rsidR="00B03211" w14:paraId="43BA4599"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5A8A4B2" w14:textId="77777777" w:rsidR="00B03211" w:rsidRDefault="00000000">
            <w:r>
              <w:rPr>
                <w:color w:val="333333"/>
              </w:rPr>
              <w:t>Director (Stuart Armley-Jones)</w:t>
            </w:r>
          </w:p>
        </w:tc>
        <w:tc>
          <w:tcPr>
            <w:tcW w:w="6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1C312EF" w14:textId="77777777" w:rsidR="00B03211" w:rsidRDefault="00000000">
            <w:r>
              <w:rPr>
                <w:color w:val="333333"/>
              </w:rPr>
              <w:t>Overall accountability for information security; approves policy; authorises security expenditure; escalation point for critical incidents</w:t>
            </w:r>
          </w:p>
        </w:tc>
      </w:tr>
      <w:tr w:rsidR="00B03211" w14:paraId="6B71E0BE"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C0CD233" w14:textId="77777777" w:rsidR="00B03211" w:rsidRDefault="00000000">
            <w:r>
              <w:rPr>
                <w:color w:val="333333"/>
              </w:rPr>
              <w:lastRenderedPageBreak/>
              <w:t>Data Protection Lead</w:t>
            </w:r>
          </w:p>
        </w:tc>
        <w:tc>
          <w:tcPr>
            <w:tcW w:w="6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2E8E3A3" w14:textId="77777777" w:rsidR="00B03211" w:rsidRDefault="00000000">
            <w:r>
              <w:rPr>
                <w:color w:val="333333"/>
              </w:rPr>
              <w:t>Day-to-day security oversight; leads risk assessments; manages incident response; coordinates with Customers and regulators</w:t>
            </w:r>
          </w:p>
        </w:tc>
      </w:tr>
      <w:tr w:rsidR="00B03211" w14:paraId="1072CFA1"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AC7D4E2" w14:textId="77777777" w:rsidR="00B03211" w:rsidRDefault="00000000">
            <w:r>
              <w:rPr>
                <w:color w:val="333333"/>
              </w:rPr>
              <w:t>Engineering Team</w:t>
            </w:r>
          </w:p>
        </w:tc>
        <w:tc>
          <w:tcPr>
            <w:tcW w:w="6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F3E9F52" w14:textId="77777777" w:rsidR="00B03211" w:rsidRDefault="00000000">
            <w:r>
              <w:rPr>
                <w:color w:val="333333"/>
              </w:rPr>
              <w:t>Implements and maintains security controls; manages infrastructure; deploys patches and updates; monitors systems</w:t>
            </w:r>
          </w:p>
        </w:tc>
      </w:tr>
      <w:tr w:rsidR="00B03211" w14:paraId="1AC8567F"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9407DE" w14:textId="77777777" w:rsidR="00B03211" w:rsidRDefault="00000000">
            <w:r>
              <w:rPr>
                <w:color w:val="333333"/>
              </w:rPr>
              <w:t>All Staff and Contractors</w:t>
            </w:r>
          </w:p>
        </w:tc>
        <w:tc>
          <w:tcPr>
            <w:tcW w:w="6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CFE81DB" w14:textId="77777777" w:rsidR="00B03211" w:rsidRDefault="00000000">
            <w:r>
              <w:rPr>
                <w:color w:val="333333"/>
              </w:rPr>
              <w:t>Comply with this Policy and the Acceptable Use Policy; report security incidents; complete security awareness training</w:t>
            </w:r>
          </w:p>
        </w:tc>
      </w:tr>
    </w:tbl>
    <w:p w14:paraId="12AB18DC" w14:textId="77777777" w:rsidR="00B03211" w:rsidRDefault="00B03211">
      <w:pPr>
        <w:spacing w:after="200"/>
      </w:pPr>
    </w:p>
    <w:p w14:paraId="48E577C7" w14:textId="77777777" w:rsidR="00B03211" w:rsidRDefault="00000000">
      <w:pPr>
        <w:pStyle w:val="Heading2"/>
      </w:pPr>
      <w:r>
        <w:t>3.2 Risk Management</w:t>
      </w:r>
    </w:p>
    <w:p w14:paraId="2630EE8D" w14:textId="77777777" w:rsidR="00B03211" w:rsidRDefault="00000000">
      <w:pPr>
        <w:spacing w:after="160" w:line="276" w:lineRule="auto"/>
      </w:pPr>
      <w:r>
        <w:t>Student Radar maintains an information security risk register, reviewed quarterly and after any material change to the platform, sub-processor arrangements, or threat landscape. Risk assessments consider:</w:t>
      </w:r>
    </w:p>
    <w:p w14:paraId="3E3C6838" w14:textId="77777777" w:rsidR="00B03211" w:rsidRDefault="00000000" w:rsidP="001E46B0">
      <w:pPr>
        <w:pStyle w:val="ListParagraph"/>
        <w:numPr>
          <w:ilvl w:val="0"/>
          <w:numId w:val="4"/>
        </w:numPr>
        <w:spacing w:after="80" w:line="276" w:lineRule="auto"/>
      </w:pPr>
      <w:r>
        <w:t>The nature, scope, context, and purposes of processing</w:t>
      </w:r>
    </w:p>
    <w:p w14:paraId="2E7713BF" w14:textId="77777777" w:rsidR="00B03211" w:rsidRDefault="00000000" w:rsidP="001E46B0">
      <w:pPr>
        <w:pStyle w:val="ListParagraph"/>
        <w:numPr>
          <w:ilvl w:val="0"/>
          <w:numId w:val="4"/>
        </w:numPr>
        <w:spacing w:after="80" w:line="276" w:lineRule="auto"/>
      </w:pPr>
      <w:r>
        <w:t>The likelihood and severity of risk to data subjects, including children with SEND</w:t>
      </w:r>
    </w:p>
    <w:p w14:paraId="293D5357" w14:textId="77777777" w:rsidR="00B03211" w:rsidRDefault="00000000" w:rsidP="001E46B0">
      <w:pPr>
        <w:pStyle w:val="ListParagraph"/>
        <w:numPr>
          <w:ilvl w:val="0"/>
          <w:numId w:val="4"/>
        </w:numPr>
        <w:spacing w:after="80" w:line="276" w:lineRule="auto"/>
      </w:pPr>
      <w:r>
        <w:t>The state of the art and cost of implementation</w:t>
      </w:r>
    </w:p>
    <w:p w14:paraId="30B2F8FD" w14:textId="77777777" w:rsidR="00B03211" w:rsidRDefault="00000000" w:rsidP="001E46B0">
      <w:pPr>
        <w:pStyle w:val="ListParagraph"/>
        <w:numPr>
          <w:ilvl w:val="0"/>
          <w:numId w:val="4"/>
        </w:numPr>
        <w:spacing w:after="80" w:line="276" w:lineRule="auto"/>
      </w:pPr>
      <w:r>
        <w:t>Threats specific to the education sector, including safeguarding data exposure</w:t>
      </w:r>
    </w:p>
    <w:p w14:paraId="5D06C738" w14:textId="77777777" w:rsidR="00B03211" w:rsidRDefault="00000000">
      <w:pPr>
        <w:pStyle w:val="Heading1"/>
      </w:pPr>
      <w:r>
        <w:t>4. Platform Architecture</w:t>
      </w:r>
    </w:p>
    <w:p w14:paraId="681589DB" w14:textId="77777777" w:rsidR="00B03211" w:rsidRDefault="00000000">
      <w:pPr>
        <w:spacing w:after="160" w:line="276" w:lineRule="auto"/>
      </w:pPr>
      <w:r>
        <w:t>The Student Radar platform comprises the following core components: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400"/>
        <w:gridCol w:w="2200"/>
        <w:gridCol w:w="3426"/>
      </w:tblGrid>
      <w:tr w:rsidR="00B03211" w14:paraId="4294D3AD" w14:textId="77777777">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D568096" w14:textId="77777777" w:rsidR="00B03211" w:rsidRDefault="00000000">
            <w:r>
              <w:rPr>
                <w:b/>
                <w:bCs/>
                <w:color w:val="FFFFFF"/>
              </w:rPr>
              <w:t>Component</w:t>
            </w:r>
          </w:p>
        </w:tc>
        <w:tc>
          <w:tcPr>
            <w:tcW w:w="14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A8FAECB" w14:textId="77777777" w:rsidR="00B03211" w:rsidRDefault="00000000">
            <w:r>
              <w:rPr>
                <w:b/>
                <w:bCs/>
                <w:color w:val="FFFFFF"/>
              </w:rPr>
              <w:t>Provider</w:t>
            </w:r>
          </w:p>
        </w:tc>
        <w:tc>
          <w:tcPr>
            <w:tcW w:w="22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5317359" w14:textId="77777777" w:rsidR="00B03211" w:rsidRDefault="00000000">
            <w:r>
              <w:rPr>
                <w:b/>
                <w:bCs/>
                <w:color w:val="FFFFFF"/>
              </w:rPr>
              <w:t>Location</w:t>
            </w:r>
          </w:p>
        </w:tc>
        <w:tc>
          <w:tcPr>
            <w:tcW w:w="34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2522C964" w14:textId="77777777" w:rsidR="00B03211" w:rsidRDefault="00000000">
            <w:r>
              <w:rPr>
                <w:b/>
                <w:bCs/>
                <w:color w:val="FFFFFF"/>
              </w:rPr>
              <w:t>Function</w:t>
            </w:r>
          </w:p>
        </w:tc>
      </w:tr>
      <w:tr w:rsidR="00B03211" w14:paraId="6C664D2B" w14:textId="77777777">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2895F39" w14:textId="77777777" w:rsidR="00B03211" w:rsidRDefault="00000000">
            <w:r>
              <w:rPr>
                <w:color w:val="333333"/>
              </w:rPr>
              <w:t>Database and Authentication</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B170392" w14:textId="77777777" w:rsidR="00B03211" w:rsidRDefault="00000000">
            <w:proofErr w:type="spellStart"/>
            <w:r>
              <w:rPr>
                <w:color w:val="333333"/>
              </w:rPr>
              <w:t>Supabase</w:t>
            </w:r>
            <w:proofErr w:type="spellEnd"/>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CF0C72A" w14:textId="77777777" w:rsidR="00B03211" w:rsidRDefault="00000000">
            <w:r>
              <w:rPr>
                <w:color w:val="333333"/>
              </w:rPr>
              <w:t>eu-west-2 (London), UK</w:t>
            </w:r>
          </w:p>
        </w:tc>
        <w:tc>
          <w:tcPr>
            <w:tcW w:w="34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C1568E7" w14:textId="77777777" w:rsidR="00B03211" w:rsidRDefault="00000000">
            <w:r>
              <w:rPr>
                <w:color w:val="333333"/>
              </w:rPr>
              <w:t>PostgreSQL database, authentication, file storage, real-time subscriptions</w:t>
            </w:r>
          </w:p>
        </w:tc>
      </w:tr>
      <w:tr w:rsidR="00B03211" w14:paraId="09808C11" w14:textId="77777777">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BAB5000" w14:textId="77777777" w:rsidR="00B03211" w:rsidRDefault="00000000">
            <w:r>
              <w:rPr>
                <w:color w:val="333333"/>
              </w:rPr>
              <w:t>Application Hosting</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628E0B2" w14:textId="77777777" w:rsidR="00B03211" w:rsidRDefault="00000000">
            <w:proofErr w:type="spellStart"/>
            <w:r>
              <w:rPr>
                <w:color w:val="333333"/>
              </w:rPr>
              <w:t>Vercel</w:t>
            </w:r>
            <w:proofErr w:type="spellEnd"/>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940FE8E" w14:textId="77777777" w:rsidR="00B03211" w:rsidRDefault="00000000">
            <w:r>
              <w:rPr>
                <w:color w:val="333333"/>
              </w:rPr>
              <w:t>EU (Frankfurt/London)</w:t>
            </w:r>
          </w:p>
        </w:tc>
        <w:tc>
          <w:tcPr>
            <w:tcW w:w="34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D726B05" w14:textId="77777777" w:rsidR="00B03211" w:rsidRDefault="00000000">
            <w:r>
              <w:rPr>
                <w:color w:val="333333"/>
              </w:rPr>
              <w:t>Single-page application, serverless API functions, edge network</w:t>
            </w:r>
          </w:p>
        </w:tc>
      </w:tr>
      <w:tr w:rsidR="00B03211" w14:paraId="6B8CB94D" w14:textId="77777777">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38A1536" w14:textId="77777777" w:rsidR="00B03211" w:rsidRDefault="00000000">
            <w:r>
              <w:rPr>
                <w:color w:val="333333"/>
              </w:rPr>
              <w:t>MIS Integration</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35C7277" w14:textId="77777777" w:rsidR="00B03211" w:rsidRDefault="00000000">
            <w:r>
              <w:rPr>
                <w:color w:val="333333"/>
              </w:rPr>
              <w:t>Wonde</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C9FFB67" w14:textId="77777777" w:rsidR="00B03211" w:rsidRDefault="00000000">
            <w:r>
              <w:rPr>
                <w:color w:val="333333"/>
              </w:rPr>
              <w:t>UK</w:t>
            </w:r>
          </w:p>
        </w:tc>
        <w:tc>
          <w:tcPr>
            <w:tcW w:w="34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07C4C6C" w14:textId="77777777" w:rsidR="00B03211" w:rsidRDefault="00000000">
            <w:r>
              <w:rPr>
                <w:color w:val="333333"/>
              </w:rPr>
              <w:t>Read-only sync from school Management Information Systems via HMAC-SHA256 authenticated webhooks</w:t>
            </w:r>
          </w:p>
        </w:tc>
      </w:tr>
      <w:tr w:rsidR="00B03211" w14:paraId="237C73E8" w14:textId="77777777">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0ADB8BC" w14:textId="77777777" w:rsidR="00B03211" w:rsidRDefault="00000000">
            <w:r>
              <w:rPr>
                <w:color w:val="333333"/>
              </w:rPr>
              <w:t>Error Monitoring</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394BE37" w14:textId="77777777" w:rsidR="00B03211" w:rsidRDefault="00000000">
            <w:r>
              <w:rPr>
                <w:color w:val="333333"/>
              </w:rPr>
              <w:t>Sentry</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C522D7B" w14:textId="77777777" w:rsidR="00B03211" w:rsidRDefault="00000000">
            <w:r>
              <w:rPr>
                <w:color w:val="333333"/>
              </w:rPr>
              <w:t>EU</w:t>
            </w:r>
          </w:p>
        </w:tc>
        <w:tc>
          <w:tcPr>
            <w:tcW w:w="34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7A797EE" w14:textId="77777777" w:rsidR="00B03211" w:rsidRDefault="00000000">
            <w:r>
              <w:rPr>
                <w:color w:val="333333"/>
              </w:rPr>
              <w:t>Application error tracking and performance monitoring (no PII in payloads)</w:t>
            </w:r>
          </w:p>
        </w:tc>
      </w:tr>
      <w:tr w:rsidR="00B03211" w14:paraId="26AC9A90" w14:textId="77777777">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8775B14" w14:textId="77777777" w:rsidR="00B03211" w:rsidRDefault="00000000">
            <w:r>
              <w:rPr>
                <w:color w:val="333333"/>
              </w:rPr>
              <w:t>Email Delivery</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5EDF944" w14:textId="77777777" w:rsidR="00B03211" w:rsidRDefault="00000000">
            <w:r>
              <w:rPr>
                <w:color w:val="333333"/>
              </w:rPr>
              <w:t>Resend</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8067DD" w14:textId="77777777" w:rsidR="00B03211" w:rsidRDefault="00000000">
            <w:r>
              <w:rPr>
                <w:color w:val="333333"/>
              </w:rPr>
              <w:t>EU/US</w:t>
            </w:r>
          </w:p>
        </w:tc>
        <w:tc>
          <w:tcPr>
            <w:tcW w:w="34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A1D720A" w14:textId="77777777" w:rsidR="00B03211" w:rsidRDefault="00000000">
            <w:r>
              <w:rPr>
                <w:color w:val="333333"/>
              </w:rPr>
              <w:t>Transactional email (notifications, invitations) – optional, Controller-enabled</w:t>
            </w:r>
          </w:p>
        </w:tc>
      </w:tr>
      <w:tr w:rsidR="00B03211" w14:paraId="35FD151C" w14:textId="77777777">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6B2513E" w14:textId="77777777" w:rsidR="00B03211" w:rsidRDefault="00000000">
            <w:r>
              <w:rPr>
                <w:color w:val="333333"/>
              </w:rPr>
              <w:t>SMS Delivery</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1E38393" w14:textId="77777777" w:rsidR="00B03211" w:rsidRDefault="00000000">
            <w:r>
              <w:rPr>
                <w:color w:val="333333"/>
              </w:rPr>
              <w:t>Twilio</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03B8641" w14:textId="77777777" w:rsidR="00B03211" w:rsidRDefault="00000000">
            <w:r>
              <w:rPr>
                <w:color w:val="333333"/>
              </w:rPr>
              <w:t>EU/US</w:t>
            </w:r>
          </w:p>
        </w:tc>
        <w:tc>
          <w:tcPr>
            <w:tcW w:w="34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9A3C04" w14:textId="77777777" w:rsidR="00B03211" w:rsidRDefault="00000000">
            <w:r>
              <w:rPr>
                <w:color w:val="333333"/>
              </w:rPr>
              <w:t>SMS notifications via Connect module – optional, Controller-enabled</w:t>
            </w:r>
          </w:p>
        </w:tc>
      </w:tr>
      <w:tr w:rsidR="00B03211" w14:paraId="2A5F7D1D" w14:textId="77777777">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91F9ABA" w14:textId="77777777" w:rsidR="00B03211" w:rsidRDefault="00000000">
            <w:r>
              <w:rPr>
                <w:color w:val="333333"/>
              </w:rPr>
              <w:lastRenderedPageBreak/>
              <w:t>AI Processing</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C7FBD51" w14:textId="77777777" w:rsidR="00B03211" w:rsidRDefault="00000000">
            <w:r>
              <w:rPr>
                <w:color w:val="333333"/>
              </w:rPr>
              <w:t>OpenAI</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B8EADE9" w14:textId="77777777" w:rsidR="00B03211" w:rsidRDefault="00000000">
            <w:r>
              <w:rPr>
                <w:color w:val="333333"/>
              </w:rPr>
              <w:t>EU/US</w:t>
            </w:r>
          </w:p>
        </w:tc>
        <w:tc>
          <w:tcPr>
            <w:tcW w:w="34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BB28330" w14:textId="77777777" w:rsidR="00B03211" w:rsidRDefault="00000000">
            <w:r>
              <w:rPr>
                <w:color w:val="333333"/>
              </w:rPr>
              <w:t>Advisory features (risk assessment, IEP generation, insights) – optional, Controller-enabled, PII tokenised before transmission</w:t>
            </w:r>
          </w:p>
        </w:tc>
      </w:tr>
    </w:tbl>
    <w:p w14:paraId="2C4F8F9D" w14:textId="77777777" w:rsidR="00B03211" w:rsidRDefault="00B03211">
      <w:pPr>
        <w:spacing w:after="200"/>
      </w:pPr>
    </w:p>
    <w:p w14:paraId="034537DB" w14:textId="77777777" w:rsidR="00B03211" w:rsidRDefault="00000000">
      <w:pPr>
        <w:spacing w:after="160" w:line="276" w:lineRule="auto"/>
      </w:pPr>
      <w:r>
        <w:t>No routine international transfer of Customer Data occurs. Data processing occurs within the United Kingdom or the European Economic Area. Optional sub-processors outside the EEA are engaged under Standard Contractual Clauses (SCCs) or the UK International Data Transfer Agreement (IDTA) as set out in the DPA. Remote support access from outside the UK may constitute a restricted transfer and is governed by appropriate safeguards.</w:t>
      </w:r>
    </w:p>
    <w:p w14:paraId="117C7A6B" w14:textId="77777777" w:rsidR="00B03211" w:rsidRDefault="00000000">
      <w:pPr>
        <w:pStyle w:val="Heading1"/>
      </w:pPr>
      <w:r>
        <w:t>5. Access Control</w:t>
      </w:r>
    </w:p>
    <w:p w14:paraId="6F7114A4" w14:textId="77777777" w:rsidR="00B03211" w:rsidRDefault="00000000">
      <w:pPr>
        <w:pStyle w:val="Heading2"/>
      </w:pPr>
      <w:r>
        <w:t>5.1 Authentication</w:t>
      </w:r>
    </w:p>
    <w:p w14:paraId="6031CA24" w14:textId="77777777" w:rsidR="00B03211" w:rsidRDefault="00000000" w:rsidP="001E46B0">
      <w:pPr>
        <w:pStyle w:val="ListParagraph"/>
        <w:numPr>
          <w:ilvl w:val="0"/>
          <w:numId w:val="5"/>
        </w:numPr>
        <w:spacing w:after="80" w:line="276" w:lineRule="auto"/>
      </w:pPr>
      <w:r>
        <w:t xml:space="preserve">All user authentication is managed through </w:t>
      </w:r>
      <w:proofErr w:type="spellStart"/>
      <w:r>
        <w:t>Supabase</w:t>
      </w:r>
      <w:proofErr w:type="spellEnd"/>
      <w:r>
        <w:t xml:space="preserve"> Auth with </w:t>
      </w:r>
      <w:proofErr w:type="spellStart"/>
      <w:r>
        <w:t>bcrypt</w:t>
      </w:r>
      <w:proofErr w:type="spellEnd"/>
      <w:r>
        <w:t>-hashed passwords</w:t>
      </w:r>
    </w:p>
    <w:p w14:paraId="7124BCF0" w14:textId="77777777" w:rsidR="00B03211" w:rsidRDefault="00000000" w:rsidP="001E46B0">
      <w:pPr>
        <w:pStyle w:val="ListParagraph"/>
        <w:numPr>
          <w:ilvl w:val="0"/>
          <w:numId w:val="5"/>
        </w:numPr>
        <w:spacing w:after="80" w:line="276" w:lineRule="auto"/>
      </w:pPr>
      <w:r>
        <w:t>Multi-factor authentication (MFA) is supported and enforced at AAL2 (Authenticator Assurance Level 2) for all staff accounts accessing the Platform</w:t>
      </w:r>
    </w:p>
    <w:p w14:paraId="297138AD" w14:textId="77777777" w:rsidR="00B03211" w:rsidRDefault="00000000" w:rsidP="001E46B0">
      <w:pPr>
        <w:pStyle w:val="ListParagraph"/>
        <w:numPr>
          <w:ilvl w:val="0"/>
          <w:numId w:val="5"/>
        </w:numPr>
        <w:spacing w:after="80" w:line="276" w:lineRule="auto"/>
      </w:pPr>
      <w:r>
        <w:t>Session tokens are issued as signed JWTs with configurable expiry</w:t>
      </w:r>
    </w:p>
    <w:p w14:paraId="7798177E" w14:textId="77777777" w:rsidR="00B03211" w:rsidRDefault="00000000" w:rsidP="001E46B0">
      <w:pPr>
        <w:pStyle w:val="ListParagraph"/>
        <w:numPr>
          <w:ilvl w:val="0"/>
          <w:numId w:val="5"/>
        </w:numPr>
        <w:spacing w:after="80" w:line="276" w:lineRule="auto"/>
      </w:pPr>
      <w:r>
        <w:t>Password complexity requirements are enforced at registration and reset</w:t>
      </w:r>
    </w:p>
    <w:p w14:paraId="20CA2407" w14:textId="77777777" w:rsidR="00B03211" w:rsidRDefault="00000000" w:rsidP="001E46B0">
      <w:pPr>
        <w:pStyle w:val="ListParagraph"/>
        <w:numPr>
          <w:ilvl w:val="0"/>
          <w:numId w:val="5"/>
        </w:numPr>
        <w:spacing w:after="80" w:line="276" w:lineRule="auto"/>
      </w:pPr>
      <w:r>
        <w:t>Account lockout is applied after repeated failed authentication attempts</w:t>
      </w:r>
    </w:p>
    <w:p w14:paraId="05D4DF90" w14:textId="77777777" w:rsidR="00B03211" w:rsidRDefault="00000000">
      <w:pPr>
        <w:pStyle w:val="Heading2"/>
      </w:pPr>
      <w:r>
        <w:t>5.2 Authorisation</w:t>
      </w:r>
    </w:p>
    <w:p w14:paraId="52914192" w14:textId="77777777" w:rsidR="00B03211" w:rsidRDefault="00000000" w:rsidP="001E46B0">
      <w:pPr>
        <w:pStyle w:val="ListParagraph"/>
        <w:numPr>
          <w:ilvl w:val="0"/>
          <w:numId w:val="6"/>
        </w:numPr>
        <w:spacing w:after="80" w:line="276" w:lineRule="auto"/>
      </w:pPr>
      <w:r>
        <w:t>Role-based access control (RBAC) is enforced at the application and database layers</w:t>
      </w:r>
    </w:p>
    <w:p w14:paraId="298D68F7" w14:textId="77777777" w:rsidR="00B03211" w:rsidRDefault="00000000" w:rsidP="001E46B0">
      <w:pPr>
        <w:pStyle w:val="ListParagraph"/>
        <w:numPr>
          <w:ilvl w:val="0"/>
          <w:numId w:val="6"/>
        </w:numPr>
        <w:spacing w:after="80" w:line="276" w:lineRule="auto"/>
      </w:pPr>
      <w:r>
        <w:t xml:space="preserve">Row-Level Security (RLS) policies in </w:t>
      </w:r>
      <w:proofErr w:type="spellStart"/>
      <w:r>
        <w:t>Supabase</w:t>
      </w:r>
      <w:proofErr w:type="spellEnd"/>
      <w:r>
        <w:t xml:space="preserve"> enforce tenant isolation using JWT claims, ensuring each school can only access its own data</w:t>
      </w:r>
    </w:p>
    <w:p w14:paraId="310086ED" w14:textId="77777777" w:rsidR="00B03211" w:rsidRDefault="00000000" w:rsidP="001E46B0">
      <w:pPr>
        <w:pStyle w:val="ListParagraph"/>
        <w:numPr>
          <w:ilvl w:val="0"/>
          <w:numId w:val="6"/>
        </w:numPr>
        <w:spacing w:after="80" w:line="276" w:lineRule="auto"/>
      </w:pPr>
      <w:r>
        <w:t>Administrative access to production systems is restricted to named individuals with documented justification</w:t>
      </w:r>
    </w:p>
    <w:p w14:paraId="7C44F89A" w14:textId="77777777" w:rsidR="00B03211" w:rsidRDefault="00000000" w:rsidP="001E46B0">
      <w:pPr>
        <w:pStyle w:val="ListParagraph"/>
        <w:numPr>
          <w:ilvl w:val="0"/>
          <w:numId w:val="6"/>
        </w:numPr>
        <w:spacing w:after="80" w:line="276" w:lineRule="auto"/>
      </w:pPr>
      <w:r>
        <w:t>The principle of least privilege is applied to all access grants</w:t>
      </w:r>
    </w:p>
    <w:p w14:paraId="7D022939" w14:textId="77777777" w:rsidR="00B03211" w:rsidRDefault="00000000" w:rsidP="001E46B0">
      <w:pPr>
        <w:pStyle w:val="ListParagraph"/>
        <w:numPr>
          <w:ilvl w:val="0"/>
          <w:numId w:val="6"/>
        </w:numPr>
        <w:spacing w:after="80" w:line="276" w:lineRule="auto"/>
      </w:pPr>
      <w:r>
        <w:t>Access is reviewed quarterly and on staff role changes or departures</w:t>
      </w:r>
    </w:p>
    <w:p w14:paraId="56F46485" w14:textId="77777777" w:rsidR="00B03211" w:rsidRDefault="00000000">
      <w:pPr>
        <w:pStyle w:val="Heading2"/>
      </w:pPr>
      <w:r>
        <w:t>5.3 Sub-Processor Access</w:t>
      </w:r>
    </w:p>
    <w:p w14:paraId="78C1230C" w14:textId="77777777" w:rsidR="00B03211" w:rsidRDefault="00000000" w:rsidP="001E46B0">
      <w:pPr>
        <w:pStyle w:val="ListParagraph"/>
        <w:numPr>
          <w:ilvl w:val="0"/>
          <w:numId w:val="7"/>
        </w:numPr>
        <w:spacing w:after="80" w:line="276" w:lineRule="auto"/>
      </w:pPr>
      <w:r>
        <w:t>Sub-processors receive only the minimum data necessary to perform their contracted function</w:t>
      </w:r>
    </w:p>
    <w:p w14:paraId="246A704F" w14:textId="77777777" w:rsidR="00B03211" w:rsidRDefault="00000000" w:rsidP="001E46B0">
      <w:pPr>
        <w:pStyle w:val="ListParagraph"/>
        <w:numPr>
          <w:ilvl w:val="0"/>
          <w:numId w:val="7"/>
        </w:numPr>
        <w:spacing w:after="80" w:line="276" w:lineRule="auto"/>
      </w:pPr>
      <w:r>
        <w:t>API keys and credentials for sub-processors are stored in environment variables, never in source code</w:t>
      </w:r>
    </w:p>
    <w:p w14:paraId="22633E39" w14:textId="77777777" w:rsidR="00B03211" w:rsidRDefault="00000000" w:rsidP="001E46B0">
      <w:pPr>
        <w:pStyle w:val="ListParagraph"/>
        <w:numPr>
          <w:ilvl w:val="0"/>
          <w:numId w:val="7"/>
        </w:numPr>
        <w:spacing w:after="80" w:line="276" w:lineRule="auto"/>
      </w:pPr>
      <w:r>
        <w:t>Sub-processor access is logged and auditable</w:t>
      </w:r>
    </w:p>
    <w:p w14:paraId="5456DB09" w14:textId="77777777" w:rsidR="00B03211" w:rsidRDefault="00000000">
      <w:pPr>
        <w:pStyle w:val="Heading1"/>
      </w:pPr>
      <w:r>
        <w:lastRenderedPageBreak/>
        <w:t>6. Data Protection Controls</w:t>
      </w:r>
    </w:p>
    <w:p w14:paraId="231DC94E" w14:textId="77777777" w:rsidR="00B03211" w:rsidRDefault="00000000">
      <w:pPr>
        <w:pStyle w:val="Heading2"/>
      </w:pPr>
      <w:r>
        <w:t>6.1 Encryption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500"/>
        <w:gridCol w:w="4526"/>
      </w:tblGrid>
      <w:tr w:rsidR="00B03211" w14:paraId="3289CEFB" w14:textId="77777777">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48C0716E" w14:textId="77777777" w:rsidR="00B03211" w:rsidRDefault="00000000">
            <w:r>
              <w:rPr>
                <w:b/>
                <w:bCs/>
                <w:color w:val="FFFFFF"/>
              </w:rPr>
              <w:t>Layer</w:t>
            </w:r>
          </w:p>
        </w:tc>
        <w:tc>
          <w:tcPr>
            <w:tcW w:w="25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9CC565D" w14:textId="77777777" w:rsidR="00B03211" w:rsidRDefault="00000000">
            <w:r>
              <w:rPr>
                <w:b/>
                <w:bCs/>
                <w:color w:val="FFFFFF"/>
              </w:rPr>
              <w:t>Standard</w:t>
            </w:r>
          </w:p>
        </w:tc>
        <w:tc>
          <w:tcPr>
            <w:tcW w:w="45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4F19F99D" w14:textId="77777777" w:rsidR="00B03211" w:rsidRDefault="00000000">
            <w:r>
              <w:rPr>
                <w:b/>
                <w:bCs/>
                <w:color w:val="FFFFFF"/>
              </w:rPr>
              <w:t>Detail</w:t>
            </w:r>
          </w:p>
        </w:tc>
      </w:tr>
      <w:tr w:rsidR="00B03211" w14:paraId="221E847F" w14:textId="77777777">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D64FF1" w14:textId="77777777" w:rsidR="00B03211" w:rsidRDefault="00000000">
            <w:r>
              <w:rPr>
                <w:color w:val="333333"/>
              </w:rPr>
              <w:t>Data in Transit</w:t>
            </w:r>
          </w:p>
        </w:tc>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7C5CBD0" w14:textId="77777777" w:rsidR="00B03211" w:rsidRDefault="00000000">
            <w:r>
              <w:rPr>
                <w:color w:val="333333"/>
              </w:rPr>
              <w:t>TLS 1.2+ (TLS 1.3 preferred)</w:t>
            </w:r>
          </w:p>
        </w:tc>
        <w:tc>
          <w:tcPr>
            <w:tcW w:w="4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A289666" w14:textId="77777777" w:rsidR="00B03211" w:rsidRDefault="00000000">
            <w:r>
              <w:rPr>
                <w:color w:val="333333"/>
              </w:rPr>
              <w:t>All connections between clients, APIs, and sub-processors are encrypted. HSTS is enforced.</w:t>
            </w:r>
          </w:p>
        </w:tc>
      </w:tr>
      <w:tr w:rsidR="00B03211" w14:paraId="0512F3E2" w14:textId="77777777">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7CDD3E2" w14:textId="77777777" w:rsidR="00B03211" w:rsidRDefault="00000000">
            <w:r>
              <w:rPr>
                <w:color w:val="333333"/>
              </w:rPr>
              <w:t>Data at Rest</w:t>
            </w:r>
          </w:p>
        </w:tc>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E462D1C" w14:textId="77777777" w:rsidR="00B03211" w:rsidRDefault="00000000">
            <w:r>
              <w:rPr>
                <w:color w:val="333333"/>
              </w:rPr>
              <w:t>AES-256</w:t>
            </w:r>
          </w:p>
        </w:tc>
        <w:tc>
          <w:tcPr>
            <w:tcW w:w="4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3D8B39" w14:textId="77777777" w:rsidR="00B03211" w:rsidRDefault="00000000">
            <w:r>
              <w:rPr>
                <w:color w:val="333333"/>
              </w:rPr>
              <w:t xml:space="preserve">All database storage and file storage in </w:t>
            </w:r>
            <w:proofErr w:type="spellStart"/>
            <w:r>
              <w:rPr>
                <w:color w:val="333333"/>
              </w:rPr>
              <w:t>Supabase</w:t>
            </w:r>
            <w:proofErr w:type="spellEnd"/>
            <w:r>
              <w:rPr>
                <w:color w:val="333333"/>
              </w:rPr>
              <w:t xml:space="preserve"> is encrypted at rest using AES-256.</w:t>
            </w:r>
          </w:p>
        </w:tc>
      </w:tr>
      <w:tr w:rsidR="00B03211" w14:paraId="5AC4CE6F" w14:textId="77777777">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22E757" w14:textId="77777777" w:rsidR="00B03211" w:rsidRDefault="00000000">
            <w:r>
              <w:rPr>
                <w:color w:val="333333"/>
              </w:rPr>
              <w:t>Backups</w:t>
            </w:r>
          </w:p>
        </w:tc>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D11BDF6" w14:textId="77777777" w:rsidR="00B03211" w:rsidRDefault="00000000">
            <w:r>
              <w:rPr>
                <w:color w:val="333333"/>
              </w:rPr>
              <w:t>AES-256</w:t>
            </w:r>
          </w:p>
        </w:tc>
        <w:tc>
          <w:tcPr>
            <w:tcW w:w="4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B1598A" w14:textId="77777777" w:rsidR="00B03211" w:rsidRDefault="00000000">
            <w:r>
              <w:rPr>
                <w:color w:val="333333"/>
              </w:rPr>
              <w:t>All database backups are encrypted at rest. Point-in-time recovery is enabled.</w:t>
            </w:r>
          </w:p>
        </w:tc>
      </w:tr>
      <w:tr w:rsidR="00B03211" w14:paraId="5DB1AF65" w14:textId="77777777">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B306738" w14:textId="77777777" w:rsidR="00B03211" w:rsidRDefault="00000000">
            <w:r>
              <w:rPr>
                <w:color w:val="333333"/>
              </w:rPr>
              <w:t>AI Processing</w:t>
            </w:r>
          </w:p>
        </w:tc>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AF4A297" w14:textId="77777777" w:rsidR="00B03211" w:rsidRDefault="00000000">
            <w:r>
              <w:rPr>
                <w:color w:val="333333"/>
              </w:rPr>
              <w:t>PII Tokenisation</w:t>
            </w:r>
          </w:p>
        </w:tc>
        <w:tc>
          <w:tcPr>
            <w:tcW w:w="4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60E4D21" w14:textId="77777777" w:rsidR="00B03211" w:rsidRDefault="00000000">
            <w:r>
              <w:rPr>
                <w:color w:val="333333"/>
              </w:rPr>
              <w:t>Personal identifiers are tokenised before transmission to AI sub-processors. Raw PII is not sent.</w:t>
            </w:r>
          </w:p>
        </w:tc>
      </w:tr>
    </w:tbl>
    <w:p w14:paraId="04A2AFAE" w14:textId="77777777" w:rsidR="00B03211" w:rsidRDefault="00B03211">
      <w:pPr>
        <w:spacing w:after="200"/>
      </w:pPr>
    </w:p>
    <w:p w14:paraId="703A4E98" w14:textId="77777777" w:rsidR="00B03211" w:rsidRDefault="00000000">
      <w:pPr>
        <w:pStyle w:val="Heading2"/>
      </w:pPr>
      <w:r>
        <w:t>6.2 Data Segregation</w:t>
      </w:r>
    </w:p>
    <w:p w14:paraId="07E619C1" w14:textId="77777777" w:rsidR="00B03211" w:rsidRDefault="00000000" w:rsidP="001E46B0">
      <w:pPr>
        <w:pStyle w:val="ListParagraph"/>
        <w:numPr>
          <w:ilvl w:val="0"/>
          <w:numId w:val="8"/>
        </w:numPr>
        <w:spacing w:after="80" w:line="276" w:lineRule="auto"/>
      </w:pPr>
      <w:r>
        <w:t>Each school’s data is logically segregated at the database level using Row-Level Security (RLS) policies</w:t>
      </w:r>
    </w:p>
    <w:p w14:paraId="2176B03F" w14:textId="77777777" w:rsidR="00B03211" w:rsidRDefault="00000000" w:rsidP="001E46B0">
      <w:pPr>
        <w:pStyle w:val="ListParagraph"/>
        <w:numPr>
          <w:ilvl w:val="0"/>
          <w:numId w:val="8"/>
        </w:numPr>
        <w:spacing w:after="80" w:line="276" w:lineRule="auto"/>
      </w:pPr>
      <w:r>
        <w:t>Cross-tenant data access is architecturally prevented – queries are filtered by authenticated school context</w:t>
      </w:r>
    </w:p>
    <w:p w14:paraId="61541E07" w14:textId="77777777" w:rsidR="00B03211" w:rsidRDefault="00000000" w:rsidP="001E46B0">
      <w:pPr>
        <w:pStyle w:val="ListParagraph"/>
        <w:numPr>
          <w:ilvl w:val="0"/>
          <w:numId w:val="8"/>
        </w:numPr>
        <w:spacing w:after="80" w:line="276" w:lineRule="auto"/>
      </w:pPr>
      <w:r>
        <w:t>Multi-Academy Trust configurations allow controlled cross-school visibility where explicitly authorised by the Customer</w:t>
      </w:r>
    </w:p>
    <w:p w14:paraId="7310D4C5" w14:textId="77777777" w:rsidR="00B03211" w:rsidRDefault="00000000">
      <w:pPr>
        <w:pStyle w:val="Heading2"/>
      </w:pPr>
      <w:r>
        <w:t>6.3 Data Minimisation</w:t>
      </w:r>
    </w:p>
    <w:p w14:paraId="67BF8EC9" w14:textId="77777777" w:rsidR="00B03211" w:rsidRDefault="00000000" w:rsidP="001E46B0">
      <w:pPr>
        <w:pStyle w:val="ListParagraph"/>
        <w:numPr>
          <w:ilvl w:val="0"/>
          <w:numId w:val="9"/>
        </w:numPr>
        <w:spacing w:after="80" w:line="276" w:lineRule="auto"/>
      </w:pPr>
      <w:r>
        <w:t>Only data necessary for the contracted purpose is collected and processed</w:t>
      </w:r>
    </w:p>
    <w:p w14:paraId="3AD5B393" w14:textId="77777777" w:rsidR="00B03211" w:rsidRDefault="00000000" w:rsidP="001E46B0">
      <w:pPr>
        <w:pStyle w:val="ListParagraph"/>
        <w:numPr>
          <w:ilvl w:val="0"/>
          <w:numId w:val="9"/>
        </w:numPr>
        <w:spacing w:after="80" w:line="276" w:lineRule="auto"/>
      </w:pPr>
      <w:r>
        <w:t>MIS integration via Wonde is read-only and synchronises only the data fields required for Platform functionality</w:t>
      </w:r>
    </w:p>
    <w:p w14:paraId="3356E03A" w14:textId="77777777" w:rsidR="00B03211" w:rsidRDefault="00000000" w:rsidP="001E46B0">
      <w:pPr>
        <w:pStyle w:val="ListParagraph"/>
        <w:numPr>
          <w:ilvl w:val="0"/>
          <w:numId w:val="9"/>
        </w:numPr>
        <w:spacing w:after="80" w:line="276" w:lineRule="auto"/>
      </w:pPr>
      <w:r>
        <w:t>AI features receive tokenised data only; raw PII is not transmitted to AI sub-processors</w:t>
      </w:r>
    </w:p>
    <w:p w14:paraId="26E4D209" w14:textId="77777777" w:rsidR="00B03211" w:rsidRDefault="00000000" w:rsidP="001E46B0">
      <w:pPr>
        <w:pStyle w:val="ListParagraph"/>
        <w:numPr>
          <w:ilvl w:val="0"/>
          <w:numId w:val="9"/>
        </w:numPr>
        <w:spacing w:after="80" w:line="276" w:lineRule="auto"/>
      </w:pPr>
      <w:r>
        <w:t>Audit and system logs are stripped of directly identifiable information where technically feasible</w:t>
      </w:r>
    </w:p>
    <w:p w14:paraId="335A6941" w14:textId="77777777" w:rsidR="00B03211" w:rsidRDefault="00000000">
      <w:pPr>
        <w:pStyle w:val="Heading2"/>
      </w:pPr>
      <w:r>
        <w:t>6.4 Backup and Recovery</w:t>
      </w:r>
    </w:p>
    <w:p w14:paraId="2E84AF1E" w14:textId="77777777" w:rsidR="00B03211" w:rsidRDefault="00000000" w:rsidP="001E46B0">
      <w:pPr>
        <w:pStyle w:val="ListParagraph"/>
        <w:numPr>
          <w:ilvl w:val="0"/>
          <w:numId w:val="10"/>
        </w:numPr>
        <w:spacing w:after="80" w:line="276" w:lineRule="auto"/>
      </w:pPr>
      <w:r>
        <w:t>Automated daily database backups with point-in-time recovery enabled</w:t>
      </w:r>
    </w:p>
    <w:p w14:paraId="333ED6D5" w14:textId="77777777" w:rsidR="00B03211" w:rsidRDefault="00000000" w:rsidP="001E46B0">
      <w:pPr>
        <w:pStyle w:val="ListParagraph"/>
        <w:numPr>
          <w:ilvl w:val="0"/>
          <w:numId w:val="10"/>
        </w:numPr>
        <w:spacing w:after="80" w:line="276" w:lineRule="auto"/>
      </w:pPr>
      <w:r>
        <w:t>Target Recovery Time Objective (RTO): 4 hours</w:t>
      </w:r>
    </w:p>
    <w:p w14:paraId="0CC4876B" w14:textId="77777777" w:rsidR="00B03211" w:rsidRDefault="00000000" w:rsidP="001E46B0">
      <w:pPr>
        <w:pStyle w:val="ListParagraph"/>
        <w:numPr>
          <w:ilvl w:val="0"/>
          <w:numId w:val="10"/>
        </w:numPr>
        <w:spacing w:after="80" w:line="276" w:lineRule="auto"/>
      </w:pPr>
      <w:r>
        <w:t>Target Recovery Point Objective (RPO): 1 hour</w:t>
      </w:r>
    </w:p>
    <w:p w14:paraId="6A8BC5C5" w14:textId="77777777" w:rsidR="00B03211" w:rsidRDefault="00000000" w:rsidP="001E46B0">
      <w:pPr>
        <w:pStyle w:val="ListParagraph"/>
        <w:numPr>
          <w:ilvl w:val="0"/>
          <w:numId w:val="10"/>
        </w:numPr>
        <w:spacing w:after="80" w:line="276" w:lineRule="auto"/>
      </w:pPr>
      <w:r>
        <w:t>Backups are stored in a geographically separate location within the UK/EEA</w:t>
      </w:r>
    </w:p>
    <w:p w14:paraId="0F2F15B9" w14:textId="77777777" w:rsidR="00B03211" w:rsidRDefault="00000000" w:rsidP="001E46B0">
      <w:pPr>
        <w:pStyle w:val="ListParagraph"/>
        <w:numPr>
          <w:ilvl w:val="0"/>
          <w:numId w:val="10"/>
        </w:numPr>
        <w:spacing w:after="80" w:line="276" w:lineRule="auto"/>
      </w:pPr>
      <w:r>
        <w:t>Recovery procedures are tested at least annually</w:t>
      </w:r>
    </w:p>
    <w:p w14:paraId="1C61170D" w14:textId="77777777" w:rsidR="00B03211" w:rsidRDefault="00000000">
      <w:pPr>
        <w:pStyle w:val="Heading1"/>
      </w:pPr>
      <w:r>
        <w:lastRenderedPageBreak/>
        <w:t>7. Network and Infrastructure Security</w:t>
      </w:r>
    </w:p>
    <w:p w14:paraId="53BE1414" w14:textId="77777777" w:rsidR="00B03211" w:rsidRDefault="00000000" w:rsidP="001E46B0">
      <w:pPr>
        <w:pStyle w:val="ListParagraph"/>
        <w:numPr>
          <w:ilvl w:val="0"/>
          <w:numId w:val="11"/>
        </w:numPr>
        <w:spacing w:after="80" w:line="276" w:lineRule="auto"/>
      </w:pPr>
      <w:r>
        <w:t>All production infrastructure is hosted on managed platforms (</w:t>
      </w:r>
      <w:proofErr w:type="spellStart"/>
      <w:r>
        <w:t>Supabase</w:t>
      </w:r>
      <w:proofErr w:type="spellEnd"/>
      <w:r>
        <w:t xml:space="preserve">, </w:t>
      </w:r>
      <w:proofErr w:type="spellStart"/>
      <w:r>
        <w:t>Vercel</w:t>
      </w:r>
      <w:proofErr w:type="spellEnd"/>
      <w:r>
        <w:t>) with SOC 2 Type II or equivalent certifications</w:t>
      </w:r>
    </w:p>
    <w:p w14:paraId="3E15329C" w14:textId="77777777" w:rsidR="00B03211" w:rsidRDefault="00000000" w:rsidP="001E46B0">
      <w:pPr>
        <w:pStyle w:val="ListParagraph"/>
        <w:numPr>
          <w:ilvl w:val="0"/>
          <w:numId w:val="11"/>
        </w:numPr>
        <w:spacing w:after="80" w:line="276" w:lineRule="auto"/>
      </w:pPr>
      <w:r>
        <w:t>Web Application Firewall (WAF) rules are applied at the edge layer</w:t>
      </w:r>
    </w:p>
    <w:p w14:paraId="4E43615D" w14:textId="77777777" w:rsidR="00B03211" w:rsidRDefault="00000000" w:rsidP="001E46B0">
      <w:pPr>
        <w:pStyle w:val="ListParagraph"/>
        <w:numPr>
          <w:ilvl w:val="0"/>
          <w:numId w:val="11"/>
        </w:numPr>
        <w:spacing w:after="80" w:line="276" w:lineRule="auto"/>
      </w:pPr>
      <w:r>
        <w:t xml:space="preserve">DDoS mitigation is provided by </w:t>
      </w:r>
      <w:proofErr w:type="spellStart"/>
      <w:r>
        <w:t>Vercel’s</w:t>
      </w:r>
      <w:proofErr w:type="spellEnd"/>
      <w:r>
        <w:t xml:space="preserve"> edge network</w:t>
      </w:r>
    </w:p>
    <w:p w14:paraId="09FB0CB2" w14:textId="77777777" w:rsidR="00B03211" w:rsidRDefault="00000000" w:rsidP="001E46B0">
      <w:pPr>
        <w:pStyle w:val="ListParagraph"/>
        <w:numPr>
          <w:ilvl w:val="0"/>
          <w:numId w:val="11"/>
        </w:numPr>
        <w:spacing w:after="80" w:line="276" w:lineRule="auto"/>
      </w:pPr>
      <w:r>
        <w:t>DNS is managed with DNSSEC where supported</w:t>
      </w:r>
    </w:p>
    <w:p w14:paraId="7F22CF51" w14:textId="77777777" w:rsidR="00B03211" w:rsidRDefault="00000000" w:rsidP="001E46B0">
      <w:pPr>
        <w:pStyle w:val="ListParagraph"/>
        <w:numPr>
          <w:ilvl w:val="0"/>
          <w:numId w:val="11"/>
        </w:numPr>
        <w:spacing w:after="80" w:line="276" w:lineRule="auto"/>
      </w:pPr>
      <w:r>
        <w:t>All API endpoints enforce rate limiting to prevent abuse</w:t>
      </w:r>
    </w:p>
    <w:p w14:paraId="757861A4" w14:textId="77777777" w:rsidR="00B03211" w:rsidRDefault="00000000" w:rsidP="001E46B0">
      <w:pPr>
        <w:pStyle w:val="ListParagraph"/>
        <w:numPr>
          <w:ilvl w:val="0"/>
          <w:numId w:val="11"/>
        </w:numPr>
        <w:spacing w:after="80" w:line="276" w:lineRule="auto"/>
      </w:pPr>
      <w:r>
        <w:t>Webhook integrations (Wonde, Stripe) are authenticated using HMAC-SHA256 signature verification</w:t>
      </w:r>
    </w:p>
    <w:p w14:paraId="2646BD27" w14:textId="77777777" w:rsidR="00B03211" w:rsidRDefault="00000000" w:rsidP="001E46B0">
      <w:pPr>
        <w:pStyle w:val="ListParagraph"/>
        <w:numPr>
          <w:ilvl w:val="0"/>
          <w:numId w:val="11"/>
        </w:numPr>
        <w:spacing w:after="80" w:line="276" w:lineRule="auto"/>
      </w:pPr>
      <w:r>
        <w:t>Honey tokens are deployed to detect unauthorised access to sensitive data stores</w:t>
      </w:r>
    </w:p>
    <w:p w14:paraId="02D33C4A" w14:textId="77777777" w:rsidR="00B03211" w:rsidRDefault="00000000">
      <w:pPr>
        <w:pStyle w:val="Heading1"/>
      </w:pPr>
      <w:r>
        <w:t>8. Application Security</w:t>
      </w:r>
    </w:p>
    <w:p w14:paraId="7CBCA26B" w14:textId="77777777" w:rsidR="00B03211" w:rsidRDefault="00000000" w:rsidP="001E46B0">
      <w:pPr>
        <w:pStyle w:val="ListParagraph"/>
        <w:numPr>
          <w:ilvl w:val="0"/>
          <w:numId w:val="12"/>
        </w:numPr>
        <w:spacing w:after="80" w:line="276" w:lineRule="auto"/>
      </w:pPr>
      <w:r>
        <w:t>Secure development practices are followed in alignment with OWASP guidelines, including input validation, output encoding, and parameterised queries. Threat modelling is performed for new features or significant architectural changes</w:t>
      </w:r>
    </w:p>
    <w:p w14:paraId="6BAFE446" w14:textId="77777777" w:rsidR="00B03211" w:rsidRDefault="00000000" w:rsidP="001E46B0">
      <w:pPr>
        <w:pStyle w:val="ListParagraph"/>
        <w:numPr>
          <w:ilvl w:val="0"/>
          <w:numId w:val="12"/>
        </w:numPr>
        <w:spacing w:after="80" w:line="276" w:lineRule="auto"/>
      </w:pPr>
      <w:r>
        <w:t>Dependencies are monitored for known vulnerabilities using automated scanning (</w:t>
      </w:r>
      <w:proofErr w:type="spellStart"/>
      <w:r>
        <w:t>Dependabot</w:t>
      </w:r>
      <w:proofErr w:type="spellEnd"/>
      <w:r>
        <w:t xml:space="preserve"> or equivalent)</w:t>
      </w:r>
    </w:p>
    <w:p w14:paraId="55D53682" w14:textId="77777777" w:rsidR="00B03211" w:rsidRDefault="00000000" w:rsidP="001E46B0">
      <w:pPr>
        <w:pStyle w:val="ListParagraph"/>
        <w:numPr>
          <w:ilvl w:val="0"/>
          <w:numId w:val="12"/>
        </w:numPr>
        <w:spacing w:after="80" w:line="276" w:lineRule="auto"/>
      </w:pPr>
      <w:r>
        <w:t>Code changes are subject to peer review before deployment to production</w:t>
      </w:r>
    </w:p>
    <w:p w14:paraId="6F98F469" w14:textId="77777777" w:rsidR="00B03211" w:rsidRDefault="00000000" w:rsidP="001E46B0">
      <w:pPr>
        <w:pStyle w:val="ListParagraph"/>
        <w:numPr>
          <w:ilvl w:val="0"/>
          <w:numId w:val="12"/>
        </w:numPr>
        <w:spacing w:after="80" w:line="276" w:lineRule="auto"/>
      </w:pPr>
      <w:r>
        <w:t>Production deployments are made through a controlled CI/CD pipeline with automated testing</w:t>
      </w:r>
    </w:p>
    <w:p w14:paraId="59E56285" w14:textId="77777777" w:rsidR="00B03211" w:rsidRDefault="00000000" w:rsidP="001E46B0">
      <w:pPr>
        <w:pStyle w:val="ListParagraph"/>
        <w:numPr>
          <w:ilvl w:val="0"/>
          <w:numId w:val="12"/>
        </w:numPr>
        <w:spacing w:after="80" w:line="276" w:lineRule="auto"/>
      </w:pPr>
      <w:r>
        <w:t>Content Security Policy (CSP) headers are configured to mitigate cross-site scripting (XSS)</w:t>
      </w:r>
    </w:p>
    <w:p w14:paraId="50016441" w14:textId="77777777" w:rsidR="00B03211" w:rsidRDefault="00000000" w:rsidP="001E46B0">
      <w:pPr>
        <w:pStyle w:val="ListParagraph"/>
        <w:numPr>
          <w:ilvl w:val="0"/>
          <w:numId w:val="12"/>
        </w:numPr>
        <w:spacing w:after="80" w:line="276" w:lineRule="auto"/>
      </w:pPr>
      <w:r>
        <w:t>CSRF protection is enforced on all state-changing operations</w:t>
      </w:r>
    </w:p>
    <w:p w14:paraId="606FE695" w14:textId="77777777" w:rsidR="00B03211" w:rsidRDefault="00000000" w:rsidP="001E46B0">
      <w:pPr>
        <w:pStyle w:val="ListParagraph"/>
        <w:numPr>
          <w:ilvl w:val="0"/>
          <w:numId w:val="12"/>
        </w:numPr>
        <w:spacing w:after="80" w:line="276" w:lineRule="auto"/>
      </w:pPr>
      <w:r>
        <w:t>API authentication uses short-lived tokens with appropriate scoping</w:t>
      </w:r>
    </w:p>
    <w:p w14:paraId="3FEDBB38" w14:textId="77777777" w:rsidR="00B03211" w:rsidRDefault="00000000">
      <w:pPr>
        <w:pStyle w:val="Heading1"/>
      </w:pPr>
      <w:r>
        <w:t>9. Monitoring and Logging</w:t>
      </w:r>
    </w:p>
    <w:p w14:paraId="1E342C10" w14:textId="77777777" w:rsidR="00B03211" w:rsidRDefault="00000000">
      <w:pPr>
        <w:pStyle w:val="Heading2"/>
      </w:pPr>
      <w:r>
        <w:t>9.1 Audit Logging</w:t>
      </w:r>
    </w:p>
    <w:p w14:paraId="528B17AF" w14:textId="77777777" w:rsidR="00B03211" w:rsidRDefault="00000000" w:rsidP="001E46B0">
      <w:pPr>
        <w:pStyle w:val="ListParagraph"/>
        <w:numPr>
          <w:ilvl w:val="0"/>
          <w:numId w:val="13"/>
        </w:numPr>
        <w:spacing w:after="80" w:line="276" w:lineRule="auto"/>
      </w:pPr>
      <w:r>
        <w:t>All authentication events (login, logout, failed attempts, MFA challenges) are logged</w:t>
      </w:r>
    </w:p>
    <w:p w14:paraId="3D18856B" w14:textId="77777777" w:rsidR="00B03211" w:rsidRDefault="00000000" w:rsidP="001E46B0">
      <w:pPr>
        <w:pStyle w:val="ListParagraph"/>
        <w:numPr>
          <w:ilvl w:val="0"/>
          <w:numId w:val="13"/>
        </w:numPr>
        <w:spacing w:after="80" w:line="276" w:lineRule="auto"/>
      </w:pPr>
      <w:r>
        <w:t>Administrative actions (role changes, configuration changes, data exports) are logged with user identity and timestamp</w:t>
      </w:r>
    </w:p>
    <w:p w14:paraId="70C32279" w14:textId="77777777" w:rsidR="00B03211" w:rsidRDefault="00000000" w:rsidP="001E46B0">
      <w:pPr>
        <w:pStyle w:val="ListParagraph"/>
        <w:numPr>
          <w:ilvl w:val="0"/>
          <w:numId w:val="13"/>
        </w:numPr>
        <w:spacing w:after="80" w:line="276" w:lineRule="auto"/>
      </w:pPr>
      <w:r>
        <w:t>Data access patterns are monitored for anomalous behaviour</w:t>
      </w:r>
    </w:p>
    <w:p w14:paraId="090E7C8A" w14:textId="77777777" w:rsidR="00B03211" w:rsidRDefault="00000000" w:rsidP="001E46B0">
      <w:pPr>
        <w:pStyle w:val="ListParagraph"/>
        <w:numPr>
          <w:ilvl w:val="0"/>
          <w:numId w:val="13"/>
        </w:numPr>
        <w:spacing w:after="80" w:line="276" w:lineRule="auto"/>
      </w:pPr>
      <w:r>
        <w:t>Audit logs are immutable and retained for a minimum of 13 months in accordance with the DPA</w:t>
      </w:r>
    </w:p>
    <w:p w14:paraId="0BCC61EC" w14:textId="77777777" w:rsidR="00B03211" w:rsidRDefault="00000000">
      <w:pPr>
        <w:pStyle w:val="Heading2"/>
      </w:pPr>
      <w:r>
        <w:t>9.2 Infrastructure Monitoring</w:t>
      </w:r>
    </w:p>
    <w:p w14:paraId="3AD55F85" w14:textId="77777777" w:rsidR="00B03211" w:rsidRDefault="00000000" w:rsidP="001E46B0">
      <w:pPr>
        <w:pStyle w:val="ListParagraph"/>
        <w:numPr>
          <w:ilvl w:val="0"/>
          <w:numId w:val="14"/>
        </w:numPr>
        <w:spacing w:after="80" w:line="276" w:lineRule="auto"/>
      </w:pPr>
      <w:r>
        <w:t>Application performance and error monitoring via Sentry (no PII in payloads)</w:t>
      </w:r>
    </w:p>
    <w:p w14:paraId="26BE416B" w14:textId="77777777" w:rsidR="00B03211" w:rsidRDefault="00000000" w:rsidP="001E46B0">
      <w:pPr>
        <w:pStyle w:val="ListParagraph"/>
        <w:numPr>
          <w:ilvl w:val="0"/>
          <w:numId w:val="14"/>
        </w:numPr>
        <w:spacing w:after="80" w:line="276" w:lineRule="auto"/>
      </w:pPr>
      <w:proofErr w:type="spellStart"/>
      <w:r>
        <w:lastRenderedPageBreak/>
        <w:t>Supabase</w:t>
      </w:r>
      <w:proofErr w:type="spellEnd"/>
      <w:r>
        <w:t xml:space="preserve"> provides database performance monitoring, connection tracking, and query analysis</w:t>
      </w:r>
    </w:p>
    <w:p w14:paraId="6BE06003" w14:textId="77777777" w:rsidR="00B03211" w:rsidRDefault="00000000" w:rsidP="001E46B0">
      <w:pPr>
        <w:pStyle w:val="ListParagraph"/>
        <w:numPr>
          <w:ilvl w:val="0"/>
          <w:numId w:val="14"/>
        </w:numPr>
        <w:spacing w:after="80" w:line="276" w:lineRule="auto"/>
      </w:pPr>
      <w:r>
        <w:t>Uptime monitoring with automated alerting for service degradation or outage</w:t>
      </w:r>
    </w:p>
    <w:p w14:paraId="19D0517F" w14:textId="77777777" w:rsidR="00B03211" w:rsidRDefault="00000000" w:rsidP="001E46B0">
      <w:pPr>
        <w:pStyle w:val="ListParagraph"/>
        <w:numPr>
          <w:ilvl w:val="0"/>
          <w:numId w:val="14"/>
        </w:numPr>
        <w:spacing w:after="80" w:line="276" w:lineRule="auto"/>
      </w:pPr>
      <w:r>
        <w:t>Alerts are configured for security-relevant events, including repeated authentication failures, unusual data access volumes, and configuration changes</w:t>
      </w:r>
    </w:p>
    <w:p w14:paraId="67D33918" w14:textId="77777777" w:rsidR="00B03211" w:rsidRDefault="00000000">
      <w:pPr>
        <w:pStyle w:val="Heading2"/>
      </w:pPr>
      <w:r>
        <w:t>9.3 Log Protection</w:t>
      </w:r>
    </w:p>
    <w:p w14:paraId="2D424442" w14:textId="77777777" w:rsidR="00B03211" w:rsidRDefault="00000000" w:rsidP="001E46B0">
      <w:pPr>
        <w:pStyle w:val="ListParagraph"/>
        <w:numPr>
          <w:ilvl w:val="0"/>
          <w:numId w:val="15"/>
        </w:numPr>
        <w:spacing w:after="80" w:line="276" w:lineRule="auto"/>
      </w:pPr>
      <w:r>
        <w:t>Logs are stored separately from application data</w:t>
      </w:r>
    </w:p>
    <w:p w14:paraId="62415916" w14:textId="77777777" w:rsidR="00B03211" w:rsidRDefault="00000000" w:rsidP="001E46B0">
      <w:pPr>
        <w:pStyle w:val="ListParagraph"/>
        <w:numPr>
          <w:ilvl w:val="0"/>
          <w:numId w:val="15"/>
        </w:numPr>
        <w:spacing w:after="80" w:line="276" w:lineRule="auto"/>
      </w:pPr>
      <w:r>
        <w:t>Access to logs is restricted to authorised personnel</w:t>
      </w:r>
    </w:p>
    <w:p w14:paraId="00039B48" w14:textId="77777777" w:rsidR="00B03211" w:rsidRDefault="00000000" w:rsidP="001E46B0">
      <w:pPr>
        <w:pStyle w:val="ListParagraph"/>
        <w:numPr>
          <w:ilvl w:val="0"/>
          <w:numId w:val="15"/>
        </w:numPr>
        <w:spacing w:after="80" w:line="276" w:lineRule="auto"/>
      </w:pPr>
      <w:r>
        <w:t>Logs are not modified or deleted during their retention period</w:t>
      </w:r>
    </w:p>
    <w:p w14:paraId="2568B70E" w14:textId="77777777" w:rsidR="00B03211" w:rsidRDefault="00000000">
      <w:pPr>
        <w:pStyle w:val="Heading2"/>
      </w:pPr>
      <w:r>
        <w:t>9.4 AI Bias and Fairness Monitoring</w:t>
      </w:r>
    </w:p>
    <w:p w14:paraId="3D4359C5" w14:textId="77777777" w:rsidR="00B03211" w:rsidRDefault="00000000" w:rsidP="001E46B0">
      <w:pPr>
        <w:pStyle w:val="ListParagraph"/>
        <w:numPr>
          <w:ilvl w:val="0"/>
          <w:numId w:val="16"/>
        </w:numPr>
        <w:spacing w:after="80" w:line="276" w:lineRule="auto"/>
      </w:pPr>
      <w:r>
        <w:t>Bias reviews are conducted quarterly using defined metrics including false positive/negative rates across demographic groups, with findings reported to the Data Protection Lead. If material bias is detected, the affected AI feature will be suspended pending remediation.</w:t>
      </w:r>
    </w:p>
    <w:p w14:paraId="5BD7BF62" w14:textId="77777777" w:rsidR="00B03211" w:rsidRDefault="00000000">
      <w:pPr>
        <w:pStyle w:val="Heading1"/>
      </w:pPr>
      <w:r>
        <w:t>10. Vulnerability Management</w:t>
      </w:r>
    </w:p>
    <w:p w14:paraId="7ED5E88A" w14:textId="77777777" w:rsidR="00B03211" w:rsidRDefault="00000000" w:rsidP="001E46B0">
      <w:pPr>
        <w:pStyle w:val="ListParagraph"/>
        <w:numPr>
          <w:ilvl w:val="0"/>
          <w:numId w:val="16"/>
        </w:numPr>
        <w:spacing w:after="80" w:line="276" w:lineRule="auto"/>
      </w:pPr>
      <w:r>
        <w:t>Automated dependency scanning runs on every code change and at least weekly</w:t>
      </w:r>
    </w:p>
    <w:p w14:paraId="6F470372" w14:textId="77777777" w:rsidR="00B03211" w:rsidRDefault="00000000" w:rsidP="001E46B0">
      <w:pPr>
        <w:pStyle w:val="ListParagraph"/>
        <w:numPr>
          <w:ilvl w:val="0"/>
          <w:numId w:val="16"/>
        </w:numPr>
        <w:spacing w:after="80" w:line="276" w:lineRule="auto"/>
      </w:pPr>
      <w:r>
        <w:t>Critical and high-severity vulnerabilities are triaged and patched within 72 hours of identification</w:t>
      </w:r>
    </w:p>
    <w:p w14:paraId="125C1C49" w14:textId="77777777" w:rsidR="00B03211" w:rsidRDefault="00000000" w:rsidP="001E46B0">
      <w:pPr>
        <w:pStyle w:val="ListParagraph"/>
        <w:numPr>
          <w:ilvl w:val="0"/>
          <w:numId w:val="16"/>
        </w:numPr>
        <w:spacing w:after="80" w:line="276" w:lineRule="auto"/>
      </w:pPr>
      <w:r>
        <w:t>Medium-severity vulnerabilities are addressed within 30 days</w:t>
      </w:r>
    </w:p>
    <w:p w14:paraId="72B5D756" w14:textId="77777777" w:rsidR="00B03211" w:rsidRDefault="00000000" w:rsidP="001E46B0">
      <w:pPr>
        <w:pStyle w:val="ListParagraph"/>
        <w:numPr>
          <w:ilvl w:val="0"/>
          <w:numId w:val="16"/>
        </w:numPr>
        <w:spacing w:after="80" w:line="276" w:lineRule="auto"/>
      </w:pPr>
      <w:r>
        <w:t>Infrastructure patches are applied in accordance with sub-processor SLAs (</w:t>
      </w:r>
      <w:proofErr w:type="spellStart"/>
      <w:r>
        <w:t>Supabase</w:t>
      </w:r>
      <w:proofErr w:type="spellEnd"/>
      <w:r>
        <w:t xml:space="preserve">, </w:t>
      </w:r>
      <w:proofErr w:type="spellStart"/>
      <w:r>
        <w:t>Vercel</w:t>
      </w:r>
      <w:proofErr w:type="spellEnd"/>
      <w:r>
        <w:t>)</w:t>
      </w:r>
    </w:p>
    <w:p w14:paraId="4512EEA2" w14:textId="77777777" w:rsidR="00B03211" w:rsidRDefault="00000000" w:rsidP="001E46B0">
      <w:pPr>
        <w:pStyle w:val="ListParagraph"/>
        <w:numPr>
          <w:ilvl w:val="0"/>
          <w:numId w:val="16"/>
        </w:numPr>
        <w:spacing w:after="80" w:line="276" w:lineRule="auto"/>
      </w:pPr>
      <w:r>
        <w:t>Automated penetration testing is conducted regularly using industry-standard tools. Annual independent external penetration testing is performed by a qualified third party, with findings remediated in accordance with severity-based timescales. Student Radar welcomes responsible vulnerability disclosure and provides a security contact at security@studentradar.com</w:t>
      </w:r>
    </w:p>
    <w:p w14:paraId="0259A861" w14:textId="77777777" w:rsidR="00B03211" w:rsidRDefault="00000000">
      <w:pPr>
        <w:pStyle w:val="Heading1"/>
      </w:pPr>
      <w:r>
        <w:t>11. Personnel Security</w:t>
      </w:r>
    </w:p>
    <w:p w14:paraId="449D3774" w14:textId="77777777" w:rsidR="00B03211" w:rsidRDefault="00000000" w:rsidP="001E46B0">
      <w:pPr>
        <w:pStyle w:val="ListParagraph"/>
        <w:numPr>
          <w:ilvl w:val="0"/>
          <w:numId w:val="17"/>
        </w:numPr>
        <w:spacing w:after="80" w:line="276" w:lineRule="auto"/>
      </w:pPr>
      <w:r>
        <w:t>All staff and contractors with access to Customer Data or production systems undergo background checks appropriate to their role</w:t>
      </w:r>
    </w:p>
    <w:p w14:paraId="5E65290B" w14:textId="77777777" w:rsidR="00B03211" w:rsidRDefault="00000000" w:rsidP="001E46B0">
      <w:pPr>
        <w:pStyle w:val="ListParagraph"/>
        <w:numPr>
          <w:ilvl w:val="0"/>
          <w:numId w:val="17"/>
        </w:numPr>
        <w:spacing w:after="80" w:line="276" w:lineRule="auto"/>
      </w:pPr>
      <w:r>
        <w:t>Security awareness training is provided on induction and refreshed annually, covering phishing, social engineering, data handling, and incident reporting</w:t>
      </w:r>
    </w:p>
    <w:p w14:paraId="69E47BE9" w14:textId="77777777" w:rsidR="00B03211" w:rsidRDefault="00000000" w:rsidP="001E46B0">
      <w:pPr>
        <w:pStyle w:val="ListParagraph"/>
        <w:numPr>
          <w:ilvl w:val="0"/>
          <w:numId w:val="17"/>
        </w:numPr>
        <w:spacing w:after="80" w:line="276" w:lineRule="auto"/>
      </w:pPr>
      <w:r>
        <w:t>Staff with access to safeguarding data receive additional training on the sensitivity and statutory requirements of that data</w:t>
      </w:r>
    </w:p>
    <w:p w14:paraId="7D728F94" w14:textId="77777777" w:rsidR="00B03211" w:rsidRDefault="00000000" w:rsidP="001E46B0">
      <w:pPr>
        <w:pStyle w:val="ListParagraph"/>
        <w:numPr>
          <w:ilvl w:val="0"/>
          <w:numId w:val="17"/>
        </w:numPr>
        <w:spacing w:after="80" w:line="276" w:lineRule="auto"/>
      </w:pPr>
      <w:r>
        <w:t>Access is revoked immediately on termination of employment or contract</w:t>
      </w:r>
    </w:p>
    <w:p w14:paraId="2EFB1D39" w14:textId="77777777" w:rsidR="00B03211" w:rsidRDefault="00000000" w:rsidP="001E46B0">
      <w:pPr>
        <w:pStyle w:val="ListParagraph"/>
        <w:numPr>
          <w:ilvl w:val="0"/>
          <w:numId w:val="17"/>
        </w:numPr>
        <w:spacing w:after="80" w:line="276" w:lineRule="auto"/>
      </w:pPr>
      <w:r>
        <w:lastRenderedPageBreak/>
        <w:t>Confidentiality obligations are included in all employment and contractor agreements</w:t>
      </w:r>
    </w:p>
    <w:p w14:paraId="729CE24E" w14:textId="77777777" w:rsidR="00B03211" w:rsidRDefault="00000000">
      <w:pPr>
        <w:pStyle w:val="Heading1"/>
      </w:pPr>
      <w:r>
        <w:t>12. Physical Security</w:t>
      </w:r>
    </w:p>
    <w:p w14:paraId="07A2B8EF" w14:textId="77777777" w:rsidR="00B03211" w:rsidRDefault="00000000">
      <w:pPr>
        <w:spacing w:after="160" w:line="276" w:lineRule="auto"/>
      </w:pPr>
      <w:r>
        <w:t>Student Radar operates as a cloud-native platform with no on-premises data centres. Physical security of infrastructure is managed by our sub-processors:</w:t>
      </w:r>
    </w:p>
    <w:p w14:paraId="089D6033" w14:textId="77777777" w:rsidR="00B03211" w:rsidRDefault="00000000" w:rsidP="001E46B0">
      <w:pPr>
        <w:pStyle w:val="ListParagraph"/>
        <w:numPr>
          <w:ilvl w:val="0"/>
          <w:numId w:val="18"/>
        </w:numPr>
        <w:spacing w:after="80" w:line="276" w:lineRule="auto"/>
      </w:pPr>
      <w:proofErr w:type="spellStart"/>
      <w:r w:rsidRPr="001E46B0">
        <w:rPr>
          <w:b/>
          <w:bCs/>
        </w:rPr>
        <w:t>Supabase</w:t>
      </w:r>
      <w:proofErr w:type="spellEnd"/>
      <w:r w:rsidRPr="001E46B0">
        <w:rPr>
          <w:b/>
          <w:bCs/>
        </w:rPr>
        <w:t xml:space="preserve"> (AWS eu-west-2):</w:t>
      </w:r>
      <w:r>
        <w:t xml:space="preserve"> ISO 27001, SOC 2 Type II certified data centres with physical access controls, CCTV, biometric access, and 24/7 security personnel</w:t>
      </w:r>
    </w:p>
    <w:p w14:paraId="188040EC" w14:textId="77777777" w:rsidR="00B03211" w:rsidRDefault="00000000" w:rsidP="001E46B0">
      <w:pPr>
        <w:pStyle w:val="ListParagraph"/>
        <w:numPr>
          <w:ilvl w:val="0"/>
          <w:numId w:val="18"/>
        </w:numPr>
        <w:spacing w:after="80" w:line="276" w:lineRule="auto"/>
      </w:pPr>
      <w:proofErr w:type="spellStart"/>
      <w:r w:rsidRPr="001E46B0">
        <w:rPr>
          <w:b/>
          <w:bCs/>
        </w:rPr>
        <w:t>Vercel</w:t>
      </w:r>
      <w:proofErr w:type="spellEnd"/>
      <w:r w:rsidRPr="001E46B0">
        <w:rPr>
          <w:b/>
          <w:bCs/>
        </w:rPr>
        <w:t>:</w:t>
      </w:r>
      <w:r>
        <w:t xml:space="preserve"> SOC 2 Type II certified infrastructure with enterprise-grade physical security controls</w:t>
      </w:r>
    </w:p>
    <w:p w14:paraId="0B4760A6" w14:textId="77777777" w:rsidR="00B03211" w:rsidRDefault="00000000">
      <w:pPr>
        <w:spacing w:after="160" w:line="276" w:lineRule="auto"/>
      </w:pPr>
      <w:r>
        <w:t>Student Radar staff work remotely. Endpoint security measures include:</w:t>
      </w:r>
    </w:p>
    <w:p w14:paraId="4C537BA6" w14:textId="77777777" w:rsidR="00B03211" w:rsidRDefault="00000000" w:rsidP="001E46B0">
      <w:pPr>
        <w:pStyle w:val="ListParagraph"/>
        <w:numPr>
          <w:ilvl w:val="0"/>
          <w:numId w:val="19"/>
        </w:numPr>
        <w:spacing w:after="80" w:line="276" w:lineRule="auto"/>
      </w:pPr>
      <w:r>
        <w:t>Full-disk encryption on all devices used for development or administration</w:t>
      </w:r>
    </w:p>
    <w:p w14:paraId="39BB63C0" w14:textId="77777777" w:rsidR="00B03211" w:rsidRDefault="00000000" w:rsidP="001E46B0">
      <w:pPr>
        <w:pStyle w:val="ListParagraph"/>
        <w:numPr>
          <w:ilvl w:val="0"/>
          <w:numId w:val="19"/>
        </w:numPr>
        <w:spacing w:after="80" w:line="276" w:lineRule="auto"/>
      </w:pPr>
      <w:r>
        <w:t>Screen lock enforcement after period of inactivity</w:t>
      </w:r>
    </w:p>
    <w:p w14:paraId="64EE8B6C" w14:textId="77777777" w:rsidR="00B03211" w:rsidRDefault="00000000" w:rsidP="001E46B0">
      <w:pPr>
        <w:pStyle w:val="ListParagraph"/>
        <w:numPr>
          <w:ilvl w:val="0"/>
          <w:numId w:val="19"/>
        </w:numPr>
        <w:spacing w:after="80" w:line="276" w:lineRule="auto"/>
      </w:pPr>
      <w:r>
        <w:t>Prohibition on storing Customer Data on local devices. Endpoint detection and response (EDR) or antivirus software is installed and maintained on all development and administrative devices. Devices are managed under a consistent security baseline</w:t>
      </w:r>
    </w:p>
    <w:p w14:paraId="2E67A3CC" w14:textId="77777777" w:rsidR="00B03211" w:rsidRDefault="00000000">
      <w:pPr>
        <w:pStyle w:val="Heading1"/>
      </w:pPr>
      <w:r>
        <w:t>13. Business Continuity</w:t>
      </w:r>
    </w:p>
    <w:p w14:paraId="5903A2B9" w14:textId="77777777" w:rsidR="00B03211" w:rsidRDefault="00000000">
      <w:pPr>
        <w:spacing w:after="160" w:line="276" w:lineRule="auto"/>
      </w:pPr>
      <w:r>
        <w:t>Student Radar’s business continuity measures are designed to ensure service availability and data protection during adverse events:</w:t>
      </w:r>
    </w:p>
    <w:p w14:paraId="7B867655" w14:textId="77777777" w:rsidR="00B03211" w:rsidRDefault="00000000" w:rsidP="001E46B0">
      <w:pPr>
        <w:pStyle w:val="ListParagraph"/>
        <w:numPr>
          <w:ilvl w:val="0"/>
          <w:numId w:val="20"/>
        </w:numPr>
        <w:spacing w:after="80" w:line="276" w:lineRule="auto"/>
      </w:pPr>
      <w:r>
        <w:t>Platform availability target: 99.9% uptime (as defined in the MSA Service Level Agreement)</w:t>
      </w:r>
    </w:p>
    <w:p w14:paraId="7076A6FE" w14:textId="77777777" w:rsidR="00B03211" w:rsidRDefault="00000000" w:rsidP="001E46B0">
      <w:pPr>
        <w:pStyle w:val="ListParagraph"/>
        <w:numPr>
          <w:ilvl w:val="0"/>
          <w:numId w:val="20"/>
        </w:numPr>
        <w:spacing w:after="80" w:line="276" w:lineRule="auto"/>
      </w:pPr>
      <w:r>
        <w:t xml:space="preserve">Automated failover and redundancy provided by </w:t>
      </w:r>
      <w:proofErr w:type="spellStart"/>
      <w:r>
        <w:t>Supabase</w:t>
      </w:r>
      <w:proofErr w:type="spellEnd"/>
      <w:r>
        <w:t xml:space="preserve"> and </w:t>
      </w:r>
      <w:proofErr w:type="spellStart"/>
      <w:r>
        <w:t>Vercel</w:t>
      </w:r>
      <w:proofErr w:type="spellEnd"/>
      <w:r>
        <w:t xml:space="preserve"> managed infrastructure</w:t>
      </w:r>
    </w:p>
    <w:p w14:paraId="12F151BE" w14:textId="77777777" w:rsidR="00B03211" w:rsidRDefault="00000000" w:rsidP="001E46B0">
      <w:pPr>
        <w:pStyle w:val="ListParagraph"/>
        <w:numPr>
          <w:ilvl w:val="0"/>
          <w:numId w:val="20"/>
        </w:numPr>
        <w:spacing w:after="80" w:line="276" w:lineRule="auto"/>
      </w:pPr>
      <w:r>
        <w:t>Database backups with point-in-time recovery (RPO: 1 hour; RTO: 4 hours)</w:t>
      </w:r>
    </w:p>
    <w:p w14:paraId="4ED9960D" w14:textId="77777777" w:rsidR="00B03211" w:rsidRDefault="00000000" w:rsidP="001E46B0">
      <w:pPr>
        <w:pStyle w:val="ListParagraph"/>
        <w:numPr>
          <w:ilvl w:val="0"/>
          <w:numId w:val="20"/>
        </w:numPr>
        <w:spacing w:after="80" w:line="276" w:lineRule="auto"/>
      </w:pPr>
      <w:r>
        <w:t>Incident response procedures documented in the Incident Response Policy</w:t>
      </w:r>
    </w:p>
    <w:p w14:paraId="0C5E5B20" w14:textId="77777777" w:rsidR="00B03211" w:rsidRDefault="00000000" w:rsidP="001E46B0">
      <w:pPr>
        <w:pStyle w:val="ListParagraph"/>
        <w:numPr>
          <w:ilvl w:val="0"/>
          <w:numId w:val="20"/>
        </w:numPr>
        <w:spacing w:after="80" w:line="276" w:lineRule="auto"/>
      </w:pPr>
      <w:r>
        <w:t>Annual disaster recovery testing, including backup restoration verification</w:t>
      </w:r>
    </w:p>
    <w:p w14:paraId="1ADA8B68" w14:textId="77777777" w:rsidR="00B03211" w:rsidRDefault="00000000" w:rsidP="001E46B0">
      <w:pPr>
        <w:pStyle w:val="ListParagraph"/>
        <w:numPr>
          <w:ilvl w:val="0"/>
          <w:numId w:val="20"/>
        </w:numPr>
        <w:spacing w:after="80" w:line="276" w:lineRule="auto"/>
      </w:pPr>
      <w:r>
        <w:t>Force majeure provisions in the MSA address prolonged service disruption</w:t>
      </w:r>
    </w:p>
    <w:p w14:paraId="4D22D1C6" w14:textId="77777777" w:rsidR="00B03211" w:rsidRDefault="00000000">
      <w:pPr>
        <w:pStyle w:val="Heading1"/>
      </w:pPr>
      <w:r>
        <w:t>14. Third-Party and Sub-Processor Security</w:t>
      </w:r>
    </w:p>
    <w:p w14:paraId="4BD66D39" w14:textId="77777777" w:rsidR="00B03211" w:rsidRDefault="00000000">
      <w:pPr>
        <w:spacing w:after="160" w:line="276" w:lineRule="auto"/>
      </w:pPr>
      <w:r>
        <w:t>Before engaging any new sub-processor, Student Radar conducts a security assessment covering:</w:t>
      </w:r>
    </w:p>
    <w:p w14:paraId="7C290ACE" w14:textId="77777777" w:rsidR="00B03211" w:rsidRDefault="00000000" w:rsidP="001E46B0">
      <w:pPr>
        <w:pStyle w:val="ListParagraph"/>
        <w:numPr>
          <w:ilvl w:val="0"/>
          <w:numId w:val="21"/>
        </w:numPr>
        <w:spacing w:after="80" w:line="276" w:lineRule="auto"/>
      </w:pPr>
      <w:r>
        <w:t>Data protection certifications and compliance posture (SOC 2, ISO 27001, Cyber Essentials)</w:t>
      </w:r>
    </w:p>
    <w:p w14:paraId="4D907EA4" w14:textId="77777777" w:rsidR="00B03211" w:rsidRDefault="00000000" w:rsidP="001E46B0">
      <w:pPr>
        <w:pStyle w:val="ListParagraph"/>
        <w:numPr>
          <w:ilvl w:val="0"/>
          <w:numId w:val="21"/>
        </w:numPr>
        <w:spacing w:after="80" w:line="276" w:lineRule="auto"/>
      </w:pPr>
      <w:r>
        <w:t>Data residency and international transfer mechanisms</w:t>
      </w:r>
    </w:p>
    <w:p w14:paraId="3B573285" w14:textId="77777777" w:rsidR="00B03211" w:rsidRDefault="00000000" w:rsidP="001E46B0">
      <w:pPr>
        <w:pStyle w:val="ListParagraph"/>
        <w:numPr>
          <w:ilvl w:val="0"/>
          <w:numId w:val="21"/>
        </w:numPr>
        <w:spacing w:after="80" w:line="276" w:lineRule="auto"/>
      </w:pPr>
      <w:r>
        <w:t>Encryption standards (at rest and in transit)</w:t>
      </w:r>
    </w:p>
    <w:p w14:paraId="1B39E319" w14:textId="77777777" w:rsidR="00B03211" w:rsidRDefault="00000000" w:rsidP="001E46B0">
      <w:pPr>
        <w:pStyle w:val="ListParagraph"/>
        <w:numPr>
          <w:ilvl w:val="0"/>
          <w:numId w:val="21"/>
        </w:numPr>
        <w:spacing w:after="80" w:line="276" w:lineRule="auto"/>
      </w:pPr>
      <w:r>
        <w:t>Incident notification obligations and response capability</w:t>
      </w:r>
    </w:p>
    <w:p w14:paraId="16C9F433" w14:textId="77777777" w:rsidR="00B03211" w:rsidRDefault="00000000" w:rsidP="001E46B0">
      <w:pPr>
        <w:pStyle w:val="ListParagraph"/>
        <w:numPr>
          <w:ilvl w:val="0"/>
          <w:numId w:val="21"/>
        </w:numPr>
        <w:spacing w:after="80" w:line="276" w:lineRule="auto"/>
      </w:pPr>
      <w:r>
        <w:lastRenderedPageBreak/>
        <w:t>Sub-processing arrangements (whether the sub-processor uses further sub-processors)</w:t>
      </w:r>
    </w:p>
    <w:p w14:paraId="5CAA1241" w14:textId="77777777" w:rsidR="00B03211" w:rsidRDefault="00000000">
      <w:pPr>
        <w:spacing w:after="160" w:line="276" w:lineRule="auto"/>
      </w:pPr>
      <w:r>
        <w:t>Existing sub-processors are reviewed annually. Changes to sub-processor arrangements are notified to Customers in accordance with the DPA.</w:t>
      </w:r>
    </w:p>
    <w:p w14:paraId="038B3DA1" w14:textId="77777777" w:rsidR="00B03211" w:rsidRDefault="00000000">
      <w:pPr>
        <w:spacing w:after="160" w:line="276" w:lineRule="auto"/>
      </w:pPr>
      <w:r>
        <w:t>The current sub-processor list is maintained as a separate document and is available to Customers on request.</w:t>
      </w:r>
    </w:p>
    <w:p w14:paraId="0FC80030" w14:textId="77777777" w:rsidR="00B03211" w:rsidRDefault="00000000">
      <w:pPr>
        <w:pStyle w:val="Heading1"/>
      </w:pPr>
      <w:r>
        <w:t>15. Certification and Compliance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800"/>
        <w:gridCol w:w="5026"/>
      </w:tblGrid>
      <w:tr w:rsidR="00B03211" w14:paraId="58C5624A" w14:textId="77777777">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6BBFBD8" w14:textId="77777777" w:rsidR="00B03211" w:rsidRDefault="00000000">
            <w:r>
              <w:rPr>
                <w:b/>
                <w:bCs/>
                <w:color w:val="FFFFFF"/>
              </w:rPr>
              <w:t>Standard</w:t>
            </w:r>
          </w:p>
        </w:tc>
        <w:tc>
          <w:tcPr>
            <w:tcW w:w="18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74B94F1A" w14:textId="77777777" w:rsidR="00B03211" w:rsidRDefault="00000000">
            <w:r>
              <w:rPr>
                <w:b/>
                <w:bCs/>
                <w:color w:val="FFFFFF"/>
              </w:rPr>
              <w:t>Status</w:t>
            </w:r>
          </w:p>
        </w:tc>
        <w:tc>
          <w:tcPr>
            <w:tcW w:w="50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41C9D26" w14:textId="77777777" w:rsidR="00B03211" w:rsidRDefault="00000000">
            <w:r>
              <w:rPr>
                <w:b/>
                <w:bCs/>
                <w:color w:val="FFFFFF"/>
              </w:rPr>
              <w:t>Detail</w:t>
            </w:r>
          </w:p>
        </w:tc>
      </w:tr>
      <w:tr w:rsidR="00B03211" w14:paraId="115BB471" w14:textId="77777777">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58A686" w14:textId="77777777" w:rsidR="00B03211" w:rsidRDefault="00000000">
            <w:r>
              <w:rPr>
                <w:color w:val="333333"/>
              </w:rPr>
              <w:t>Cyber Essentials</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EF91CE7" w14:textId="77777777" w:rsidR="00B03211" w:rsidRDefault="00000000">
            <w:r>
              <w:rPr>
                <w:color w:val="333333"/>
              </w:rPr>
              <w:t>Certified</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5D68291" w14:textId="77777777" w:rsidR="00B03211" w:rsidRDefault="00000000">
            <w:r>
              <w:rPr>
                <w:color w:val="333333"/>
              </w:rPr>
              <w:t>Cyber Essentials certification awarded 20 February 2026. Cyber Essentials Plus evaluation planned.</w:t>
            </w:r>
          </w:p>
        </w:tc>
      </w:tr>
      <w:tr w:rsidR="00B03211" w14:paraId="2C3A400E" w14:textId="77777777">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261CA2" w14:textId="77777777" w:rsidR="00B03211" w:rsidRDefault="00000000">
            <w:r>
              <w:rPr>
                <w:color w:val="333333"/>
              </w:rPr>
              <w:t>UK GDPR</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F25348F" w14:textId="77777777" w:rsidR="00B03211" w:rsidRDefault="00000000">
            <w:r>
              <w:rPr>
                <w:color w:val="333333"/>
              </w:rPr>
              <w:t>Compliant</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15E5D9D" w14:textId="77777777" w:rsidR="00B03211" w:rsidRDefault="00000000">
            <w:r>
              <w:rPr>
                <w:color w:val="333333"/>
              </w:rPr>
              <w:t>Data Processing Agreement, Privacy Policy, DPIA, and Incident Response Policy in place</w:t>
            </w:r>
          </w:p>
        </w:tc>
      </w:tr>
      <w:tr w:rsidR="00B03211" w14:paraId="78A2A3CB" w14:textId="77777777">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1B821C4" w14:textId="77777777" w:rsidR="00B03211" w:rsidRDefault="00000000">
            <w:r>
              <w:rPr>
                <w:color w:val="333333"/>
              </w:rPr>
              <w:t>ICO Registration</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F43D63" w14:textId="77777777" w:rsidR="00B03211" w:rsidRDefault="00000000">
            <w:r>
              <w:rPr>
                <w:color w:val="333333"/>
              </w:rPr>
              <w:t>Registered</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E3C8FE" w14:textId="77777777" w:rsidR="00B03211" w:rsidRDefault="00000000">
            <w:proofErr w:type="spellStart"/>
            <w:r>
              <w:rPr>
                <w:color w:val="333333"/>
              </w:rPr>
              <w:t>SENDlink</w:t>
            </w:r>
            <w:proofErr w:type="spellEnd"/>
            <w:r>
              <w:rPr>
                <w:color w:val="333333"/>
              </w:rPr>
              <w:t xml:space="preserve"> LTD is registered with the Information Commissioner’s Office</w:t>
            </w:r>
          </w:p>
        </w:tc>
      </w:tr>
      <w:tr w:rsidR="00B03211" w14:paraId="1DD0888D" w14:textId="77777777">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27295C4" w14:textId="77777777" w:rsidR="00B03211" w:rsidRDefault="00000000">
            <w:r>
              <w:rPr>
                <w:color w:val="333333"/>
              </w:rPr>
              <w:t>SOC 2 Type II (Sub-processors)</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0E82CC9" w14:textId="77777777" w:rsidR="00B03211" w:rsidRDefault="00000000">
            <w:r>
              <w:rPr>
                <w:color w:val="333333"/>
              </w:rPr>
              <w:t>Verified</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60AF7C7" w14:textId="77777777" w:rsidR="00B03211" w:rsidRDefault="00000000">
            <w:proofErr w:type="spellStart"/>
            <w:r>
              <w:rPr>
                <w:color w:val="333333"/>
              </w:rPr>
              <w:t>Supabase</w:t>
            </w:r>
            <w:proofErr w:type="spellEnd"/>
            <w:r>
              <w:rPr>
                <w:color w:val="333333"/>
              </w:rPr>
              <w:t xml:space="preserve"> and </w:t>
            </w:r>
            <w:proofErr w:type="spellStart"/>
            <w:r>
              <w:rPr>
                <w:color w:val="333333"/>
              </w:rPr>
              <w:t>Vercel</w:t>
            </w:r>
            <w:proofErr w:type="spellEnd"/>
            <w:r>
              <w:rPr>
                <w:color w:val="333333"/>
              </w:rPr>
              <w:t xml:space="preserve"> both hold SOC 2 Type II certifications</w:t>
            </w:r>
          </w:p>
        </w:tc>
      </w:tr>
    </w:tbl>
    <w:p w14:paraId="64135B6B" w14:textId="77777777" w:rsidR="00B03211" w:rsidRDefault="00B03211">
      <w:pPr>
        <w:spacing w:after="200"/>
      </w:pPr>
    </w:p>
    <w:p w14:paraId="55A6FBAD" w14:textId="77777777" w:rsidR="00B03211" w:rsidRDefault="00000000">
      <w:pPr>
        <w:spacing w:after="160" w:line="276" w:lineRule="auto"/>
      </w:pPr>
      <w:r>
        <w:t>Student Radar achieved Cyber Essentials certification in February 2026. Cyber Essentials Plus and ISO 27001 will be evaluated as the organisation matures. Student Radar maintains cyber insurance (obtained alongside Cyber Essentials certification) and professional indemnity insurance (underwritten by Markel) to cover liabilities arising from data breaches, security incidents, and professional services.</w:t>
      </w:r>
    </w:p>
    <w:p w14:paraId="0211F398" w14:textId="77777777" w:rsidR="00B03211" w:rsidRDefault="00000000">
      <w:pPr>
        <w:pStyle w:val="Heading1"/>
      </w:pPr>
      <w:r>
        <w:t>16. Data Retention and Disposal</w:t>
      </w:r>
    </w:p>
    <w:p w14:paraId="05BAB63C" w14:textId="77777777" w:rsidR="00B03211" w:rsidRDefault="00000000">
      <w:pPr>
        <w:spacing w:after="160" w:line="276" w:lineRule="auto"/>
      </w:pPr>
      <w:r>
        <w:t>Data retention periods are defined in the Data Processing Agreement and Data Retention Schedule. Key principles:</w:t>
      </w:r>
    </w:p>
    <w:p w14:paraId="66EDCF20" w14:textId="77777777" w:rsidR="00B03211" w:rsidRDefault="00000000" w:rsidP="001E46B0">
      <w:pPr>
        <w:pStyle w:val="ListParagraph"/>
        <w:numPr>
          <w:ilvl w:val="0"/>
          <w:numId w:val="22"/>
        </w:numPr>
        <w:spacing w:after="80" w:line="276" w:lineRule="auto"/>
      </w:pPr>
      <w:r>
        <w:t>Customer Data is retained only for the duration of the service agreement plus a transition period of up to 30 days</w:t>
      </w:r>
    </w:p>
    <w:p w14:paraId="4C2FD95C" w14:textId="77777777" w:rsidR="00B03211" w:rsidRDefault="00000000" w:rsidP="001E46B0">
      <w:pPr>
        <w:pStyle w:val="ListParagraph"/>
        <w:numPr>
          <w:ilvl w:val="0"/>
          <w:numId w:val="22"/>
        </w:numPr>
        <w:spacing w:after="80" w:line="276" w:lineRule="auto"/>
      </w:pPr>
      <w:r>
        <w:t>On termination, Customer Data is securely deleted or returned in accordance with the DPA</w:t>
      </w:r>
    </w:p>
    <w:p w14:paraId="62B26F58" w14:textId="77777777" w:rsidR="00B03211" w:rsidRDefault="00000000" w:rsidP="001E46B0">
      <w:pPr>
        <w:pStyle w:val="ListParagraph"/>
        <w:numPr>
          <w:ilvl w:val="0"/>
          <w:numId w:val="22"/>
        </w:numPr>
        <w:spacing w:after="80" w:line="276" w:lineRule="auto"/>
      </w:pPr>
      <w:r>
        <w:t>Audit logs are retained for 13 months</w:t>
      </w:r>
    </w:p>
    <w:p w14:paraId="72666366" w14:textId="77777777" w:rsidR="00B03211" w:rsidRDefault="00000000" w:rsidP="001E46B0">
      <w:pPr>
        <w:pStyle w:val="ListParagraph"/>
        <w:numPr>
          <w:ilvl w:val="0"/>
          <w:numId w:val="22"/>
        </w:numPr>
        <w:spacing w:after="80" w:line="276" w:lineRule="auto"/>
      </w:pPr>
      <w:r>
        <w:t>Backups containing Customer Data are purged within 90 days of account termination</w:t>
      </w:r>
    </w:p>
    <w:p w14:paraId="5D00377D" w14:textId="77777777" w:rsidR="00B03211" w:rsidRDefault="00000000" w:rsidP="001E46B0">
      <w:pPr>
        <w:pStyle w:val="ListParagraph"/>
        <w:numPr>
          <w:ilvl w:val="0"/>
          <w:numId w:val="22"/>
        </w:numPr>
        <w:spacing w:after="80" w:line="276" w:lineRule="auto"/>
      </w:pPr>
      <w:r>
        <w:t>Deletion is performed using secure methods appropriate to the storage medium, ensuring data cannot be recovered</w:t>
      </w:r>
    </w:p>
    <w:p w14:paraId="6C5DA4C7" w14:textId="77777777" w:rsidR="00B03211" w:rsidRDefault="00000000" w:rsidP="001E46B0">
      <w:pPr>
        <w:pStyle w:val="ListParagraph"/>
        <w:numPr>
          <w:ilvl w:val="0"/>
          <w:numId w:val="22"/>
        </w:numPr>
        <w:spacing w:after="80" w:line="276" w:lineRule="auto"/>
      </w:pPr>
      <w:r>
        <w:t>A certificate of deletion is available to Customers on request</w:t>
      </w:r>
    </w:p>
    <w:p w14:paraId="5F87557C" w14:textId="77777777" w:rsidR="00B03211" w:rsidRDefault="00000000">
      <w:pPr>
        <w:pStyle w:val="Heading1"/>
      </w:pPr>
      <w:r>
        <w:t>17. Acceptable Use</w:t>
      </w:r>
    </w:p>
    <w:p w14:paraId="65E7652A" w14:textId="77777777" w:rsidR="00B03211" w:rsidRDefault="00000000">
      <w:pPr>
        <w:spacing w:after="160" w:line="276" w:lineRule="auto"/>
      </w:pPr>
      <w:r>
        <w:lastRenderedPageBreak/>
        <w:t>All users of the Platform are subject to the Acceptable Use Policy, which sets out prohibited conduct, safeguarding obligations, AI feature usage rules, and enforcement procedures. The AUP is incorporated into the MSA and available as a standalone document.</w:t>
      </w:r>
    </w:p>
    <w:p w14:paraId="7920E468" w14:textId="77777777" w:rsidR="00B03211" w:rsidRDefault="00000000">
      <w:pPr>
        <w:pStyle w:val="Heading1"/>
      </w:pPr>
      <w:r>
        <w:t>18. Policy Review</w:t>
      </w:r>
    </w:p>
    <w:p w14:paraId="7DE7560D" w14:textId="77777777" w:rsidR="00B03211" w:rsidRDefault="00000000">
      <w:pPr>
        <w:spacing w:after="160" w:line="276" w:lineRule="auto"/>
      </w:pPr>
      <w:r>
        <w:t>This Policy is reviewed annually by the Data Protection Lead, or sooner if triggered by:</w:t>
      </w:r>
    </w:p>
    <w:p w14:paraId="2EDD1CB2" w14:textId="77777777" w:rsidR="00B03211" w:rsidRDefault="00000000" w:rsidP="00B2298C">
      <w:pPr>
        <w:pStyle w:val="ListParagraph"/>
        <w:numPr>
          <w:ilvl w:val="0"/>
          <w:numId w:val="23"/>
        </w:numPr>
        <w:spacing w:after="80" w:line="276" w:lineRule="auto"/>
      </w:pPr>
      <w:r>
        <w:t>A material security incident</w:t>
      </w:r>
    </w:p>
    <w:p w14:paraId="73A2A8C2" w14:textId="77777777" w:rsidR="00B03211" w:rsidRDefault="00000000" w:rsidP="00B2298C">
      <w:pPr>
        <w:pStyle w:val="ListParagraph"/>
        <w:numPr>
          <w:ilvl w:val="0"/>
          <w:numId w:val="23"/>
        </w:numPr>
        <w:spacing w:after="80" w:line="276" w:lineRule="auto"/>
      </w:pPr>
      <w:r>
        <w:t>Changes to UK data protection law, ICO guidance, or Cyber Essentials requirements</w:t>
      </w:r>
    </w:p>
    <w:p w14:paraId="42312159" w14:textId="77777777" w:rsidR="00B03211" w:rsidRDefault="00000000" w:rsidP="00B2298C">
      <w:pPr>
        <w:pStyle w:val="ListParagraph"/>
        <w:numPr>
          <w:ilvl w:val="0"/>
          <w:numId w:val="23"/>
        </w:numPr>
        <w:spacing w:after="80" w:line="276" w:lineRule="auto"/>
      </w:pPr>
      <w:r>
        <w:t>Significant changes to the platform architecture or sub-processor arrangements</w:t>
      </w:r>
    </w:p>
    <w:p w14:paraId="71D92B5F" w14:textId="77777777" w:rsidR="00B03211" w:rsidRDefault="00000000" w:rsidP="00B2298C">
      <w:pPr>
        <w:pStyle w:val="ListParagraph"/>
        <w:numPr>
          <w:ilvl w:val="0"/>
          <w:numId w:val="23"/>
        </w:numPr>
        <w:spacing w:after="80" w:line="276" w:lineRule="auto"/>
      </w:pPr>
      <w:r>
        <w:t>Findings from risk assessments, penetration testing, or post-incident reviews</w:t>
      </w:r>
    </w:p>
    <w:p w14:paraId="3361C5C3" w14:textId="77777777" w:rsidR="00B03211" w:rsidRDefault="00000000">
      <w:pPr>
        <w:spacing w:after="160" w:line="276" w:lineRule="auto"/>
      </w:pPr>
      <w:r>
        <w:t>Material changes are communicated to Customers in accordance with the MSA.</w:t>
      </w:r>
    </w:p>
    <w:p w14:paraId="48EC930B" w14:textId="77777777" w:rsidR="00B03211" w:rsidRDefault="00000000">
      <w:pPr>
        <w:pStyle w:val="Heading1"/>
      </w:pPr>
      <w:r>
        <w:t>19. Contact</w:t>
      </w:r>
    </w:p>
    <w:p w14:paraId="36D1F898" w14:textId="77777777" w:rsidR="00B03211" w:rsidRDefault="00000000">
      <w:pPr>
        <w:spacing w:after="160" w:line="276" w:lineRule="auto"/>
      </w:pPr>
      <w:r>
        <w:t>For questions about this Policy or to report a security concern:</w:t>
      </w:r>
    </w:p>
    <w:p w14:paraId="303AB2C4" w14:textId="77777777" w:rsidR="00B03211" w:rsidRDefault="00000000">
      <w:pPr>
        <w:spacing w:after="40" w:line="276" w:lineRule="auto"/>
      </w:pPr>
      <w:r>
        <w:rPr>
          <w:b/>
          <w:bCs/>
        </w:rPr>
        <w:t>Student Radar – Data Protection Lead</w:t>
      </w:r>
    </w:p>
    <w:p w14:paraId="56E8D0FC" w14:textId="77777777" w:rsidR="00B03211" w:rsidRDefault="00000000">
      <w:pPr>
        <w:spacing w:after="160" w:line="276" w:lineRule="auto"/>
      </w:pPr>
      <w:r>
        <w:t>Security: security@studentradar.com</w:t>
      </w:r>
    </w:p>
    <w:p w14:paraId="3CA62DD6" w14:textId="77777777" w:rsidR="00B03211" w:rsidRDefault="00000000">
      <w:pPr>
        <w:spacing w:after="160" w:line="276" w:lineRule="auto"/>
      </w:pPr>
      <w:r>
        <w:t>General: support@studentradar.com</w:t>
      </w:r>
    </w:p>
    <w:p w14:paraId="4E393FDC" w14:textId="77777777" w:rsidR="00B03211" w:rsidRDefault="00000000">
      <w:pPr>
        <w:spacing w:after="160" w:line="276" w:lineRule="auto"/>
      </w:pPr>
      <w:r>
        <w:t>Website: www.studentradar.com</w:t>
      </w:r>
    </w:p>
    <w:p w14:paraId="0553C1F4" w14:textId="77777777" w:rsidR="00B03211" w:rsidRDefault="00000000">
      <w:pPr>
        <w:spacing w:after="160" w:line="276" w:lineRule="auto"/>
      </w:pPr>
      <w:r>
        <w:t xml:space="preserve">Address: </w:t>
      </w:r>
      <w:proofErr w:type="spellStart"/>
      <w:r>
        <w:t>SENDlink</w:t>
      </w:r>
      <w:proofErr w:type="spellEnd"/>
      <w:r>
        <w:t xml:space="preserve"> LTD, 10 Masefield Gardens, Plymouth, PL5 3HU</w:t>
      </w:r>
    </w:p>
    <w:sectPr w:rsidR="00B03211">
      <w:headerReference w:type="default" r:id="rId7"/>
      <w:footerReference w:type="default" r:id="rId8"/>
      <w:pgSz w:w="11906" w:h="16838"/>
      <w:pgMar w:top="220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F453F" w14:textId="77777777" w:rsidR="002E1F8B" w:rsidRDefault="002E1F8B">
      <w:r>
        <w:separator/>
      </w:r>
    </w:p>
  </w:endnote>
  <w:endnote w:type="continuationSeparator" w:id="0">
    <w:p w14:paraId="76EAAC86" w14:textId="77777777" w:rsidR="002E1F8B" w:rsidRDefault="002E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CEA9" w14:textId="77777777" w:rsidR="00B03211" w:rsidRDefault="00000000">
    <w:pPr>
      <w:pBdr>
        <w:top w:val="single" w:sz="1" w:space="8" w:color="CCCCCC"/>
      </w:pBdr>
      <w:spacing w:before="200"/>
      <w:jc w:val="center"/>
    </w:pPr>
    <w:r>
      <w:rPr>
        <w:color w:val="888888"/>
        <w:sz w:val="18"/>
        <w:szCs w:val="18"/>
      </w:rPr>
      <w:t xml:space="preserve">Student Radar – Information Security </w:t>
    </w:r>
    <w:proofErr w:type="gramStart"/>
    <w:r>
      <w:rPr>
        <w:color w:val="888888"/>
        <w:sz w:val="18"/>
        <w:szCs w:val="18"/>
      </w:rPr>
      <w:t>Policy  |</w:t>
    </w:r>
    <w:proofErr w:type="gramEnd"/>
    <w:r>
      <w:rPr>
        <w:color w:val="888888"/>
        <w:sz w:val="18"/>
        <w:szCs w:val="18"/>
      </w:rPr>
      <w:t xml:space="preserve">  Page </w:t>
    </w:r>
    <w:r>
      <w:rPr>
        <w:color w:val="888888"/>
        <w:sz w:val="18"/>
        <w:szCs w:val="18"/>
      </w:rPr>
      <w:fldChar w:fldCharType="begin"/>
    </w:r>
    <w:r>
      <w:rPr>
        <w:color w:val="888888"/>
        <w:sz w:val="18"/>
        <w:szCs w:val="18"/>
      </w:rPr>
      <w:instrText>PAGE</w:instrText>
    </w:r>
    <w:r>
      <w:rPr>
        <w:color w:val="888888"/>
        <w:sz w:val="18"/>
        <w:szCs w:val="18"/>
      </w:rPr>
      <w:fldChar w:fldCharType="separate"/>
    </w:r>
    <w:r w:rsidR="001E46B0">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D1211" w14:textId="77777777" w:rsidR="002E1F8B" w:rsidRDefault="002E1F8B">
      <w:r>
        <w:separator/>
      </w:r>
    </w:p>
  </w:footnote>
  <w:footnote w:type="continuationSeparator" w:id="0">
    <w:p w14:paraId="7283E09C" w14:textId="77777777" w:rsidR="002E1F8B" w:rsidRDefault="002E1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3D30" w14:textId="77777777" w:rsidR="006533C7" w:rsidRDefault="00000000">
    <w:r>
      <w:rPr>
        <w:noProof/>
      </w:rPr>
      <mc:AlternateContent>
        <mc:Choice Requires="wps">
          <w:drawing>
            <wp:anchor distT="0" distB="0" distL="114300" distR="114300" simplePos="0" relativeHeight="251660287" behindDoc="0" locked="0" layoutInCell="1" allowOverlap="1" wp14:anchorId="1C61C442" wp14:editId="67DF7839">
              <wp:simplePos x="0" y="0"/>
              <wp:positionH relativeFrom="column">
                <wp:posOffset>116678</wp:posOffset>
              </wp:positionH>
              <wp:positionV relativeFrom="paragraph">
                <wp:posOffset>-438785</wp:posOffset>
              </wp:positionV>
              <wp:extent cx="4944110" cy="446405"/>
              <wp:effectExtent l="0" t="0" r="0" b="0"/>
              <wp:wrapNone/>
              <wp:docPr id="261690491" name="Text Box 5"/>
              <wp:cNvGraphicFramePr/>
              <a:graphic xmlns:a="http://schemas.openxmlformats.org/drawingml/2006/main">
                <a:graphicData uri="http://schemas.microsoft.com/office/word/2010/wordprocessingShape">
                  <wps:wsp>
                    <wps:cNvSpPr txBox="1"/>
                    <wps:spPr>
                      <a:xfrm>
                        <a:off x="0" y="0"/>
                        <a:ext cx="4944110" cy="446405"/>
                      </a:xfrm>
                      <a:prstGeom prst="rect">
                        <a:avLst/>
                      </a:prstGeom>
                      <a:noFill/>
                      <a:ln w="6350">
                        <a:noFill/>
                      </a:ln>
                    </wps:spPr>
                    <wps:txbx>
                      <w:txbxContent>
                        <w:p w14:paraId="1C6D04CD" w14:textId="77777777" w:rsidR="006533C7" w:rsidRPr="00080167" w:rsidRDefault="00000000">
                          <w:pPr>
                            <w:rPr>
                              <w:b/>
                              <w:bCs/>
                              <w:color w:val="FFFFFF" w:themeColor="background1"/>
                              <w:sz w:val="44"/>
                              <w:szCs w:val="44"/>
                            </w:rPr>
                          </w:pPr>
                          <w:r w:rsidRPr="00080167">
                            <w:rPr>
                              <w:b/>
                              <w:bCs/>
                              <w:color w:val="FFFFFF" w:themeColor="background1"/>
                              <w:sz w:val="44"/>
                              <w:szCs w:val="44"/>
                            </w:rPr>
                            <w:t>Student Radar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1C442" id="_x0000_t202" coordsize="21600,21600" o:spt="202" path="m,l,21600r21600,l21600,xe">
              <v:stroke joinstyle="miter"/>
              <v:path gradientshapeok="t" o:connecttype="rect"/>
            </v:shapetype>
            <v:shape id="Text Box 5" o:spid="_x0000_s1026" type="#_x0000_t202" style="position:absolute;margin-left:9.2pt;margin-top:-34.55pt;width:389.3pt;height:35.15pt;z-index:251660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" filled="f" stroked="f" strokeweight=".5pt">
              <v:textbox>
                <w:txbxContent>
                  <w:p w14:paraId="1C6D04CD" w14:textId="77777777" w:rsidR="00000000" w:rsidRPr="00080167" w:rsidRDefault="00000000">
                    <w:pPr>
                      <w:rPr>
                        <w:b/>
                        <w:bCs/>
                        <w:color w:val="FFFFFF" w:themeColor="background1"/>
                        <w:sz w:val="44"/>
                        <w:szCs w:val="44"/>
                      </w:rPr>
                    </w:pPr>
                    <w:r w:rsidRPr="00080167">
                      <w:rPr>
                        <w:b/>
                        <w:bCs/>
                        <w:color w:val="FFFFFF" w:themeColor="background1"/>
                        <w:sz w:val="44"/>
                        <w:szCs w:val="44"/>
                      </w:rPr>
                      <w:t>Student Radar</w:t>
                    </w:r>
                  </w:p>
                </w:txbxContent>
              </v:textbox>
            </v:shape>
          </w:pict>
        </mc:Fallback>
      </mc:AlternateContent>
    </w:r>
    <w:r>
      <w:rPr>
        <w:noProof/>
      </w:rPr>
      <mc:AlternateContent>
        <mc:Choice Requires="wps">
          <w:drawing>
            <wp:anchor distT="0" distB="0" distL="114300" distR="114300" simplePos="0" relativeHeight="251662335" behindDoc="0" locked="0" layoutInCell="1" allowOverlap="1" wp14:anchorId="0EC1EDF5" wp14:editId="416A08C3">
              <wp:simplePos x="0" y="0"/>
              <wp:positionH relativeFrom="column">
                <wp:posOffset>106045</wp:posOffset>
              </wp:positionH>
              <wp:positionV relativeFrom="paragraph">
                <wp:posOffset>-120488</wp:posOffset>
              </wp:positionV>
              <wp:extent cx="6527401" cy="659057"/>
              <wp:effectExtent l="0" t="0" r="0" b="0"/>
              <wp:wrapNone/>
              <wp:docPr id="673834606" name="Text Box 5"/>
              <wp:cNvGraphicFramePr/>
              <a:graphic xmlns:a="http://schemas.openxmlformats.org/drawingml/2006/main">
                <a:graphicData uri="http://schemas.microsoft.com/office/word/2010/wordprocessingShape">
                  <wps:wsp>
                    <wps:cNvSpPr txBox="1"/>
                    <wps:spPr>
                      <a:xfrm>
                        <a:off x="0" y="0"/>
                        <a:ext cx="6527401" cy="659057"/>
                      </a:xfrm>
                      <a:prstGeom prst="rect">
                        <a:avLst/>
                      </a:prstGeom>
                      <a:noFill/>
                      <a:ln w="6350">
                        <a:noFill/>
                      </a:ln>
                    </wps:spPr>
                    <wps:txbx>
                      <w:txbxContent>
                        <w:p w14:paraId="3A50464E" w14:textId="77777777" w:rsidR="006533C7" w:rsidRPr="00080167" w:rsidRDefault="00000000" w:rsidP="00080167">
                          <w:pPr>
                            <w:rPr>
                              <w:b/>
                              <w:bCs/>
                              <w:color w:val="FFFFFF" w:themeColor="background1"/>
                              <w:sz w:val="56"/>
                              <w:szCs w:val="56"/>
                            </w:rPr>
                          </w:pPr>
                          <w:r w:rsidRPr="00080167">
                            <w:rPr>
                              <w:b/>
                              <w:bCs/>
                              <w:color w:val="FFFFFF" w:themeColor="background1"/>
                              <w:sz w:val="56"/>
                              <w:szCs w:val="56"/>
                            </w:rPr>
                            <w:t>Information Security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1EDF5" id="_x0000_s1027" type="#_x0000_t202" style="position:absolute;margin-left:8.35pt;margin-top:-9.5pt;width:513.95pt;height:51.9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" filled="f" stroked="f" strokeweight=".5pt">
              <v:textbox>
                <w:txbxContent>
                  <w:p w14:paraId="3A50464E" w14:textId="77777777" w:rsidR="00000000" w:rsidRPr="00080167" w:rsidRDefault="00000000" w:rsidP="00080167">
                    <w:pPr>
                      <w:rPr>
                        <w:b/>
                        <w:bCs/>
                        <w:color w:val="FFFFFF" w:themeColor="background1"/>
                        <w:sz w:val="56"/>
                        <w:szCs w:val="56"/>
                      </w:rPr>
                    </w:pPr>
                    <w:r w:rsidRPr="00080167">
                      <w:rPr>
                        <w:b/>
                        <w:bCs/>
                        <w:color w:val="FFFFFF" w:themeColor="background1"/>
                        <w:sz w:val="56"/>
                        <w:szCs w:val="56"/>
                      </w:rPr>
                      <w:t>Information Security Policy</w:t>
                    </w:r>
                  </w:p>
                </w:txbxContent>
              </v:textbox>
            </v:shape>
          </w:pict>
        </mc:Fallback>
      </mc:AlternateContent>
    </w:r>
    <w:r>
      <w:rPr>
        <w:noProof/>
      </w:rPr>
      <w:drawing>
        <wp:anchor distT="0" distB="0" distL="114300" distR="114300" simplePos="0" relativeHeight="251659263" behindDoc="0" locked="0" layoutInCell="1" allowOverlap="1" wp14:anchorId="6C1E03F1" wp14:editId="6C27C6FC">
          <wp:simplePos x="0" y="0"/>
          <wp:positionH relativeFrom="column">
            <wp:posOffset>-850427</wp:posOffset>
          </wp:positionH>
          <wp:positionV relativeFrom="paragraph">
            <wp:posOffset>-469900</wp:posOffset>
          </wp:positionV>
          <wp:extent cx="956310" cy="956310"/>
          <wp:effectExtent l="0" t="0" r="0" b="0"/>
          <wp:wrapSquare wrapText="bothSides"/>
          <wp:docPr id="1064856905" name="Picture 3" descr="A green circle with black lett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56905" name="Picture 3" descr="A green circle with black letters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6310" cy="956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0" behindDoc="0" locked="0" layoutInCell="1" allowOverlap="1" wp14:anchorId="6668C484" wp14:editId="08359836">
              <wp:simplePos x="0" y="0"/>
              <wp:positionH relativeFrom="column">
                <wp:posOffset>-732155</wp:posOffset>
              </wp:positionH>
              <wp:positionV relativeFrom="paragraph">
                <wp:posOffset>-363693</wp:posOffset>
              </wp:positionV>
              <wp:extent cx="712381" cy="712381"/>
              <wp:effectExtent l="0" t="0" r="0" b="0"/>
              <wp:wrapNone/>
              <wp:docPr id="758456839" name="Oval 4"/>
              <wp:cNvGraphicFramePr/>
              <a:graphic xmlns:a="http://schemas.openxmlformats.org/drawingml/2006/main">
                <a:graphicData uri="http://schemas.microsoft.com/office/word/2010/wordprocessingShape">
                  <wps:wsp>
                    <wps:cNvSpPr/>
                    <wps:spPr>
                      <a:xfrm>
                        <a:off x="0" y="0"/>
                        <a:ext cx="712381" cy="712381"/>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16ED9D" id="Oval 4" o:spid="_x0000_s1026" style="position:absolute;margin-left:-57.65pt;margin-top:-28.65pt;width:56.1pt;height:56.1pt;z-index:251658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Du6wegIAAGAFAAAOAAAAZHJzL2Uyb0RvYy54bWysVE1v2zAMvQ/YfxB0X21n7doFdYqgRYcB RRusHXpWZCkWIIuapMTJfv0oyXa6tdhh2EUmRfLxw4+6vNp3muyE8wpMTauTkhJhODTKbGr6/en2 wwUlPjDTMA1G1PQgPL1avH932du5mEELuhGOIIjx897WtA3BzovC81Z0zJ+AFQaNElzHAqpuUzSO 9Yje6WJWlp+KHlxjHXDhPd7eZCNdJHwpBQ8PUnoRiK4p1hbS6dK5jmexuGTzjWO2VXwog/1DFR1T BpNOUDcsMLJ16hVUp7gDDzKccOgKkFJxkXrAbqryj24eW2ZF6gWH4+00Jv//YPn97tGuHI6ht37u UYxd7KXr4hfrI/s0rMM0LLEPhOPleTX7eFFRwtE0yIhSHIOt8+GLgI5EoaZCa2V9bIfN2e7Oh+w9 esVrD1o1t0rrpEQKiGvtyI7hz1tvqvizEP83L22ir4EYlc3xpjg2k6Rw0CL6afNNSKIaLH+WCkk8 OyZhnAsTqmxqWSNy7uqsLBNVYvaxrFRLAozIEvNP2APA6JlBRuxc5eAfQ0Wi6RRc/q2wHDxFpMxg whTcKQPuLQCNXQ2Zs/84pDyaOKU1NIeVIw7yknjLbxX+uTvmw4o53ArcH9z08ICH1NDXFAaJkhbc z7fuoz+SFa2U9LhlNfU/tswJSvRXgzT+XJ2exrVMyunZ+QwV99Kyfmkx2+4akAvIOqwuidE/6FGU DrpnfBCWMSuamOGYu6Y8uFG5Dnn78UnhYrlMbriKloU782h5BI9TjbR82j8zZwf6BuT9PYwb+YrC 2TdGGlhuA0iV+H2c6zBvXONEnOHJie/ESz15HR/GxS8AAAD//wMAUEsDBBQABgAIAAAAIQCBRWjI 5AAAAA8BAAAPAAAAZHJzL2Rvd25yZXYueG1sTE9NS8NAEL0L/odlBG/pJq1pa5pNEYsKKkJrxes2 OybB7GzIbtPor3c86WV4w7x5H/l6tK0YsPeNIwXJJAaBVDrTUKVg/3oXLUH4oMno1hEq+EIP6+L8 LNeZcSfa4rALlWAR8plWUIfQZVL6skar/cR1SHz7cL3Vgde+kqbXJxa3rZzG8Vxa3RA71LrD2xrL z93Rssnbw7JcPD9tpi8D9ff77/n2HR+VurwYNyseNysQAcfw9wG/HTg/FBzs4I5kvGgVREmSzpjL KF0wYEo0S0AcFKRX1yCLXP7vUfwAAAD//wMAUEsBAi0AFAAGAAgAAAAhALaDOJL+AAAA4QEAABMA AAAAAAAAAAAAAAAAAAAAAFtDb250ZW50X1R5cGVzXS54bWxQSwECLQAUAAYACAAAACEAOP0h/9YA AACUAQAACwAAAAAAAAAAAAAAAAAvAQAAX3JlbHMvLnJlbHNQSwECLQAUAAYACAAAACEAVw7usHoC AABgBQAADgAAAAAAAAAAAAAAAAAuAgAAZHJzL2Uyb0RvYy54bWxQSwECLQAUAAYACAAAACEAgUVo yOQAAAAPAQAADwAAAAAAAAAAAAAAAADUBAAAZHJzL2Rvd25yZXYueG1sUEsFBgAAAAAEAAQA8wAA AOUFAAAAAA== " fillcolor="white [3212]" stroked="f" strokeweight="1.5pt">
              <v:stroke joinstyle="miter"/>
            </v:oval>
          </w:pict>
        </mc:Fallback>
      </mc:AlternateContent>
    </w:r>
    <w:r>
      <w:rPr>
        <w:noProof/>
      </w:rPr>
      <mc:AlternateContent>
        <mc:Choice Requires="wps">
          <w:drawing>
            <wp:anchor distT="0" distB="0" distL="114300" distR="114300" simplePos="0" relativeHeight="251658239" behindDoc="0" locked="0" layoutInCell="1" allowOverlap="1" wp14:anchorId="62467413" wp14:editId="66147551">
              <wp:simplePos x="0" y="0"/>
              <wp:positionH relativeFrom="column">
                <wp:posOffset>-1029291</wp:posOffset>
              </wp:positionH>
              <wp:positionV relativeFrom="paragraph">
                <wp:posOffset>-533209</wp:posOffset>
              </wp:positionV>
              <wp:extent cx="7665498" cy="997393"/>
              <wp:effectExtent l="0" t="0" r="5715" b="6350"/>
              <wp:wrapNone/>
              <wp:docPr id="57831088" name="Rectangle 1"/>
              <wp:cNvGraphicFramePr/>
              <a:graphic xmlns:a="http://schemas.openxmlformats.org/drawingml/2006/main">
                <a:graphicData uri="http://schemas.microsoft.com/office/word/2010/wordprocessingShape">
                  <wps:wsp>
                    <wps:cNvSpPr/>
                    <wps:spPr>
                      <a:xfrm>
                        <a:off x="0" y="0"/>
                        <a:ext cx="7665498" cy="997393"/>
                      </a:xfrm>
                      <a:prstGeom prst="rect">
                        <a:avLst/>
                      </a:prstGeom>
                      <a:solidFill>
                        <a:srgbClr val="68B4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843F1" id="Rectangle 1" o:spid="_x0000_s1026" style="position:absolute;margin-left:-81.05pt;margin-top:-42pt;width:603.6pt;height:78.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RfffgAIAAF8FAAAOAAAAZHJzL2Uyb0RvYy54bWysVMFu2zAMvQ/YPwi6r3bSNG2COkXWosOA Yi3WDj0rshQbkEWNUuJkXz9KdpyuLXYYdpElkXwknx91ebVrDNsq9DXYgo9Ocs6UlVDWdl3wH0+3 ny4480HYUhiwquB75fnV4uOHy9bN1RgqMKVCRiDWz1tX8CoEN88yLyvVCH8CTlkyasBGBDriOitR tITemGyc59OsBSwdglTe0+1NZ+SLhK+1kuFea68CMwWn2kJaMa2ruGaLSzFfo3BVLfsyxD9U0Yja UtIB6kYEwTZYv4FqaongQYcTCU0GWtdSpR6om1H+qpvHSjiVeiFyvBto8v8PVn7bProHJBpa5+ee trGLncYmfqk+tktk7Qey1C4wSZfn0+nZZEa/V5JtNjs/nZ1GNrNjtEMfvihoWNwUHOlnJI7E9s6H zvXgEpN5MHV5WxuTDrheXRtkW0E/bnrxeXIx6dH/cDM2OluIYR1ivMmOvaRd2BsV/Yz9rjSrS6p+ nCpJMlNDHiGlsmHUmSpRqi796CzPk1KotyEidZoAI7Km/AN2DxAl/Ba7q7L3j6EqqXQIzv9WWBc8 RKTMYMMQ3NQW8D0AQ131mTv/A0kdNZGlFZT7B2QI3Yx4J29r+m93wocHgTQUND406OGeFm2gLTj0 O84qwF/v3Ud/0ipZOWtpyAruf24EKs7MV0sqno0mkziV6TA5Ox/TAV9aVi8tdtNcA8lhRE+Kk2kb /YM5bDVC80zvwTJmJZOwknIXXAY8HK5DN/z0oki1XCY3mkQnwp19dDKCR1ajLp92zwJdL95Asv8G h4EU81ca7nxjpIXlJoCuk8CPvPZ80xQn4fQvTnwmXp6T1/FdXPwGAAD//wMAUEsDBBQABgAIAAAA IQAHSe2Z4wAAABEBAAAPAAAAZHJzL2Rvd25yZXYueG1sTE9Lb8IwDL5P2n+IPGk3SEuhg9IUTUNo 2hGYNHELjddWNE7XBCj/fua0XSw/Pn+PfDXYVlyw940jBfE4AoFUOtNQpeBzvxnNQfigyejWESq4 oYdV8fiQ68y4K23xsguVYBLymVZQh9BlUvqyRqv92HVIfPt2vdWBx76SptdXJretnERRKq1uiBVq 3eFbjeVpd7YKDmu7P91+0gWa5GMzS96l/0qlUs9Pw3rJ5XUJIuAQ/j7gnoH9Q8HGju5MxotWwShO JzFjuZtPOdodEk1nvDoqeElikEUu/ycpfgEAAP//AwBQSwECLQAUAAYACAAAACEAtoM4kv4AAADh AQAAEwAAAAAAAAAAAAAAAAAAAAAAW0NvbnRlbnRfVHlwZXNdLnhtbFBLAQItABQABgAIAAAAIQA4 /SH/1gAAAJQBAAALAAAAAAAAAAAAAAAAAC8BAABfcmVscy8ucmVsc1BLAQItABQABgAIAAAAIQDW RfffgAIAAF8FAAAOAAAAAAAAAAAAAAAAAC4CAABkcnMvZTJvRG9jLnhtbFBLAQItABQABgAIAAAA IQAHSe2Z4wAAABEBAAAPAAAAAAAAAAAAAAAAANoEAABkcnMvZG93bnJldi54bWxQSwUGAAAAAAQA BADzAAAA6gUAAAAA " fillcolor="#68b484"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563"/>
    <w:multiLevelType w:val="hybridMultilevel"/>
    <w:tmpl w:val="A70A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36674"/>
    <w:multiLevelType w:val="hybridMultilevel"/>
    <w:tmpl w:val="82FC7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55E11"/>
    <w:multiLevelType w:val="hybridMultilevel"/>
    <w:tmpl w:val="FF54D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628CC"/>
    <w:multiLevelType w:val="hybridMultilevel"/>
    <w:tmpl w:val="BD4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154CE"/>
    <w:multiLevelType w:val="hybridMultilevel"/>
    <w:tmpl w:val="5D62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0334C"/>
    <w:multiLevelType w:val="hybridMultilevel"/>
    <w:tmpl w:val="529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4141F"/>
    <w:multiLevelType w:val="hybridMultilevel"/>
    <w:tmpl w:val="3AD8B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35192"/>
    <w:multiLevelType w:val="hybridMultilevel"/>
    <w:tmpl w:val="3990B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120DE"/>
    <w:multiLevelType w:val="hybridMultilevel"/>
    <w:tmpl w:val="52948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55082"/>
    <w:multiLevelType w:val="hybridMultilevel"/>
    <w:tmpl w:val="C39021BE"/>
    <w:lvl w:ilvl="0" w:tplc="D3947FF2">
      <w:start w:val="1"/>
      <w:numFmt w:val="decimal"/>
      <w:lvlText w:val="%1."/>
      <w:lvlJc w:val="left"/>
      <w:pPr>
        <w:ind w:left="720" w:hanging="360"/>
      </w:pPr>
    </w:lvl>
    <w:lvl w:ilvl="1" w:tplc="02E098EC">
      <w:numFmt w:val="decimal"/>
      <w:lvlText w:val=""/>
      <w:lvlJc w:val="left"/>
    </w:lvl>
    <w:lvl w:ilvl="2" w:tplc="13726F1E">
      <w:numFmt w:val="decimal"/>
      <w:lvlText w:val=""/>
      <w:lvlJc w:val="left"/>
    </w:lvl>
    <w:lvl w:ilvl="3" w:tplc="50983836">
      <w:numFmt w:val="decimal"/>
      <w:lvlText w:val=""/>
      <w:lvlJc w:val="left"/>
    </w:lvl>
    <w:lvl w:ilvl="4" w:tplc="EE8E4AC2">
      <w:numFmt w:val="decimal"/>
      <w:lvlText w:val=""/>
      <w:lvlJc w:val="left"/>
    </w:lvl>
    <w:lvl w:ilvl="5" w:tplc="869EDA56">
      <w:numFmt w:val="decimal"/>
      <w:lvlText w:val=""/>
      <w:lvlJc w:val="left"/>
    </w:lvl>
    <w:lvl w:ilvl="6" w:tplc="D3644A6E">
      <w:numFmt w:val="decimal"/>
      <w:lvlText w:val=""/>
      <w:lvlJc w:val="left"/>
    </w:lvl>
    <w:lvl w:ilvl="7" w:tplc="E79496D0">
      <w:numFmt w:val="decimal"/>
      <w:lvlText w:val=""/>
      <w:lvlJc w:val="left"/>
    </w:lvl>
    <w:lvl w:ilvl="8" w:tplc="17A0AAF0">
      <w:numFmt w:val="decimal"/>
      <w:lvlText w:val=""/>
      <w:lvlJc w:val="left"/>
    </w:lvl>
  </w:abstractNum>
  <w:abstractNum w:abstractNumId="10" w15:restartNumberingAfterBreak="0">
    <w:nsid w:val="375A289C"/>
    <w:multiLevelType w:val="hybridMultilevel"/>
    <w:tmpl w:val="6050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D072FE"/>
    <w:multiLevelType w:val="hybridMultilevel"/>
    <w:tmpl w:val="90C42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9018A"/>
    <w:multiLevelType w:val="hybridMultilevel"/>
    <w:tmpl w:val="98543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AE3464"/>
    <w:multiLevelType w:val="hybridMultilevel"/>
    <w:tmpl w:val="6272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0E0010"/>
    <w:multiLevelType w:val="hybridMultilevel"/>
    <w:tmpl w:val="1EBA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753921"/>
    <w:multiLevelType w:val="hybridMultilevel"/>
    <w:tmpl w:val="BC3A7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80E2F"/>
    <w:multiLevelType w:val="hybridMultilevel"/>
    <w:tmpl w:val="B83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B60580"/>
    <w:multiLevelType w:val="hybridMultilevel"/>
    <w:tmpl w:val="5F944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8369E0"/>
    <w:multiLevelType w:val="hybridMultilevel"/>
    <w:tmpl w:val="230E5312"/>
    <w:lvl w:ilvl="0" w:tplc="69CAF22E">
      <w:start w:val="1"/>
      <w:numFmt w:val="bullet"/>
      <w:lvlText w:val="●"/>
      <w:lvlJc w:val="left"/>
      <w:pPr>
        <w:ind w:left="720" w:hanging="360"/>
      </w:pPr>
    </w:lvl>
    <w:lvl w:ilvl="1" w:tplc="5C465258">
      <w:start w:val="1"/>
      <w:numFmt w:val="bullet"/>
      <w:lvlText w:val="○"/>
      <w:lvlJc w:val="left"/>
      <w:pPr>
        <w:ind w:left="1440" w:hanging="360"/>
      </w:pPr>
    </w:lvl>
    <w:lvl w:ilvl="2" w:tplc="492C86D6">
      <w:start w:val="1"/>
      <w:numFmt w:val="bullet"/>
      <w:lvlText w:val="■"/>
      <w:lvlJc w:val="left"/>
      <w:pPr>
        <w:ind w:left="2160" w:hanging="360"/>
      </w:pPr>
    </w:lvl>
    <w:lvl w:ilvl="3" w:tplc="3EC6C654">
      <w:start w:val="1"/>
      <w:numFmt w:val="bullet"/>
      <w:lvlText w:val="●"/>
      <w:lvlJc w:val="left"/>
      <w:pPr>
        <w:ind w:left="2880" w:hanging="360"/>
      </w:pPr>
    </w:lvl>
    <w:lvl w:ilvl="4" w:tplc="16B21C74">
      <w:start w:val="1"/>
      <w:numFmt w:val="bullet"/>
      <w:lvlText w:val="○"/>
      <w:lvlJc w:val="left"/>
      <w:pPr>
        <w:ind w:left="3600" w:hanging="360"/>
      </w:pPr>
    </w:lvl>
    <w:lvl w:ilvl="5" w:tplc="DC5AFC18">
      <w:start w:val="1"/>
      <w:numFmt w:val="bullet"/>
      <w:lvlText w:val="■"/>
      <w:lvlJc w:val="left"/>
      <w:pPr>
        <w:ind w:left="4320" w:hanging="360"/>
      </w:pPr>
    </w:lvl>
    <w:lvl w:ilvl="6" w:tplc="CB647746">
      <w:start w:val="1"/>
      <w:numFmt w:val="bullet"/>
      <w:lvlText w:val="●"/>
      <w:lvlJc w:val="left"/>
      <w:pPr>
        <w:ind w:left="5040" w:hanging="360"/>
      </w:pPr>
    </w:lvl>
    <w:lvl w:ilvl="7" w:tplc="26F881EC">
      <w:start w:val="1"/>
      <w:numFmt w:val="bullet"/>
      <w:lvlText w:val="●"/>
      <w:lvlJc w:val="left"/>
      <w:pPr>
        <w:ind w:left="5760" w:hanging="360"/>
      </w:pPr>
    </w:lvl>
    <w:lvl w:ilvl="8" w:tplc="D1D0A9E8">
      <w:start w:val="1"/>
      <w:numFmt w:val="bullet"/>
      <w:lvlText w:val="●"/>
      <w:lvlJc w:val="left"/>
      <w:pPr>
        <w:ind w:left="6480" w:hanging="360"/>
      </w:pPr>
    </w:lvl>
  </w:abstractNum>
  <w:abstractNum w:abstractNumId="19" w15:restartNumberingAfterBreak="0">
    <w:nsid w:val="72CD7133"/>
    <w:multiLevelType w:val="hybridMultilevel"/>
    <w:tmpl w:val="FC722900"/>
    <w:lvl w:ilvl="0" w:tplc="6FEAEC80">
      <w:start w:val="1"/>
      <w:numFmt w:val="bullet"/>
      <w:lvlText w:val="•"/>
      <w:lvlJc w:val="left"/>
      <w:pPr>
        <w:ind w:left="720" w:hanging="360"/>
      </w:pPr>
    </w:lvl>
    <w:lvl w:ilvl="1" w:tplc="887EAA62">
      <w:numFmt w:val="decimal"/>
      <w:lvlText w:val=""/>
      <w:lvlJc w:val="left"/>
    </w:lvl>
    <w:lvl w:ilvl="2" w:tplc="FDB4A1A2">
      <w:numFmt w:val="decimal"/>
      <w:lvlText w:val=""/>
      <w:lvlJc w:val="left"/>
    </w:lvl>
    <w:lvl w:ilvl="3" w:tplc="2B8AA010">
      <w:numFmt w:val="decimal"/>
      <w:lvlText w:val=""/>
      <w:lvlJc w:val="left"/>
    </w:lvl>
    <w:lvl w:ilvl="4" w:tplc="3482E9E2">
      <w:numFmt w:val="decimal"/>
      <w:lvlText w:val=""/>
      <w:lvlJc w:val="left"/>
    </w:lvl>
    <w:lvl w:ilvl="5" w:tplc="2C0C2186">
      <w:numFmt w:val="decimal"/>
      <w:lvlText w:val=""/>
      <w:lvlJc w:val="left"/>
    </w:lvl>
    <w:lvl w:ilvl="6" w:tplc="7CF6514C">
      <w:numFmt w:val="decimal"/>
      <w:lvlText w:val=""/>
      <w:lvlJc w:val="left"/>
    </w:lvl>
    <w:lvl w:ilvl="7" w:tplc="41888C12">
      <w:numFmt w:val="decimal"/>
      <w:lvlText w:val=""/>
      <w:lvlJc w:val="left"/>
    </w:lvl>
    <w:lvl w:ilvl="8" w:tplc="37A8B036">
      <w:numFmt w:val="decimal"/>
      <w:lvlText w:val=""/>
      <w:lvlJc w:val="left"/>
    </w:lvl>
  </w:abstractNum>
  <w:abstractNum w:abstractNumId="20" w15:restartNumberingAfterBreak="0">
    <w:nsid w:val="740957DA"/>
    <w:multiLevelType w:val="hybridMultilevel"/>
    <w:tmpl w:val="17BA9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6F6277"/>
    <w:multiLevelType w:val="hybridMultilevel"/>
    <w:tmpl w:val="7C765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8841E7"/>
    <w:multiLevelType w:val="hybridMultilevel"/>
    <w:tmpl w:val="1D767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1C589C"/>
    <w:multiLevelType w:val="hybridMultilevel"/>
    <w:tmpl w:val="4766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644702">
    <w:abstractNumId w:val="18"/>
    <w:lvlOverride w:ilvl="0">
      <w:startOverride w:val="1"/>
    </w:lvlOverride>
  </w:num>
  <w:num w:numId="2" w16cid:durableId="763309355">
    <w:abstractNumId w:val="19"/>
    <w:lvlOverride w:ilvl="0">
      <w:startOverride w:val="1"/>
    </w:lvlOverride>
  </w:num>
  <w:num w:numId="3" w16cid:durableId="1181505880">
    <w:abstractNumId w:val="13"/>
  </w:num>
  <w:num w:numId="4" w16cid:durableId="1398867556">
    <w:abstractNumId w:val="17"/>
  </w:num>
  <w:num w:numId="5" w16cid:durableId="370502252">
    <w:abstractNumId w:val="21"/>
  </w:num>
  <w:num w:numId="6" w16cid:durableId="90786576">
    <w:abstractNumId w:val="20"/>
  </w:num>
  <w:num w:numId="7" w16cid:durableId="1040476126">
    <w:abstractNumId w:val="23"/>
  </w:num>
  <w:num w:numId="8" w16cid:durableId="1093085640">
    <w:abstractNumId w:val="3"/>
  </w:num>
  <w:num w:numId="9" w16cid:durableId="350569149">
    <w:abstractNumId w:val="4"/>
  </w:num>
  <w:num w:numId="10" w16cid:durableId="921185706">
    <w:abstractNumId w:val="5"/>
  </w:num>
  <w:num w:numId="11" w16cid:durableId="1884822997">
    <w:abstractNumId w:val="7"/>
  </w:num>
  <w:num w:numId="12" w16cid:durableId="1505511870">
    <w:abstractNumId w:val="14"/>
  </w:num>
  <w:num w:numId="13" w16cid:durableId="863980037">
    <w:abstractNumId w:val="15"/>
  </w:num>
  <w:num w:numId="14" w16cid:durableId="839195994">
    <w:abstractNumId w:val="8"/>
  </w:num>
  <w:num w:numId="15" w16cid:durableId="736123759">
    <w:abstractNumId w:val="22"/>
  </w:num>
  <w:num w:numId="16" w16cid:durableId="703482190">
    <w:abstractNumId w:val="1"/>
  </w:num>
  <w:num w:numId="17" w16cid:durableId="909390355">
    <w:abstractNumId w:val="12"/>
  </w:num>
  <w:num w:numId="18" w16cid:durableId="2024092648">
    <w:abstractNumId w:val="6"/>
  </w:num>
  <w:num w:numId="19" w16cid:durableId="304168860">
    <w:abstractNumId w:val="2"/>
  </w:num>
  <w:num w:numId="20" w16cid:durableId="2067869800">
    <w:abstractNumId w:val="11"/>
  </w:num>
  <w:num w:numId="21" w16cid:durableId="2064401170">
    <w:abstractNumId w:val="16"/>
  </w:num>
  <w:num w:numId="22" w16cid:durableId="2076929738">
    <w:abstractNumId w:val="0"/>
  </w:num>
  <w:num w:numId="23" w16cid:durableId="6912302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211"/>
    <w:rsid w:val="00170285"/>
    <w:rsid w:val="001E46B0"/>
    <w:rsid w:val="002E1F8B"/>
    <w:rsid w:val="006533C7"/>
    <w:rsid w:val="006B175B"/>
    <w:rsid w:val="00B03211"/>
    <w:rsid w:val="00B2298C"/>
    <w:rsid w:val="00C30423"/>
    <w:rsid w:val="00CB2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DB35FE"/>
  <w15:docId w15:val="{898C13B6-796C-A444-948B-C1182C2E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Helvetica"/>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4D8F66"/>
      <w:sz w:val="28"/>
      <w:szCs w:val="28"/>
    </w:rPr>
  </w:style>
  <w:style w:type="paragraph" w:styleId="Heading2">
    <w:name w:val="heading 2"/>
    <w:uiPriority w:val="9"/>
    <w:unhideWhenUsed/>
    <w:qFormat/>
    <w:pPr>
      <w:spacing w:before="280" w:after="160"/>
      <w:outlineLvl w:val="1"/>
    </w:pPr>
    <w:rPr>
      <w:b/>
      <w:bCs/>
      <w:color w:val="4D8F6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2069</Words>
  <Characters>13430</Characters>
  <Application>Microsoft Office Word</Application>
  <DocSecurity>0</DocSecurity>
  <Lines>349</Lines>
  <Paragraphs>237</Paragraphs>
  <ScaleCrop>false</ScaleCrop>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Stuart Armley-Jones</cp:lastModifiedBy>
  <cp:revision>2</cp:revision>
  <dcterms:created xsi:type="dcterms:W3CDTF">2026-02-25T14:24:00Z</dcterms:created>
  <dcterms:modified xsi:type="dcterms:W3CDTF">2026-02-25T14:24:00Z</dcterms:modified>
</cp:coreProperties>
</file>