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6051C" w14:textId="3B181908" w:rsidR="002E4A5B" w:rsidRDefault="00000000" w:rsidP="00A16CF9">
      <w:pPr>
        <w:spacing w:after="120"/>
      </w:pPr>
      <w:r>
        <w:t>Version 1.</w:t>
      </w:r>
      <w:r w:rsidR="00A16CF9">
        <w:t>0</w:t>
      </w:r>
    </w:p>
    <w:p w14:paraId="56CED5F7" w14:textId="77777777" w:rsidR="002E4A5B" w:rsidRDefault="00000000" w:rsidP="00A16CF9">
      <w:pPr>
        <w:spacing w:after="300"/>
      </w:pPr>
      <w:r>
        <w:t>Classification: Internal – Confidential</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026"/>
      </w:tblGrid>
      <w:tr w:rsidR="002E4A5B" w14:paraId="3C557199" w14:textId="77777777">
        <w:trPr>
          <w:tblHeader/>
        </w:trPr>
        <w:tc>
          <w:tcPr>
            <w:tcW w:w="3000"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57F359EB" w14:textId="77777777" w:rsidR="002E4A5B" w:rsidRDefault="00000000">
            <w:r>
              <w:rPr>
                <w:b/>
                <w:bCs/>
                <w:color w:val="FFFFFF"/>
              </w:rPr>
              <w:t>Field</w:t>
            </w:r>
          </w:p>
        </w:tc>
        <w:tc>
          <w:tcPr>
            <w:tcW w:w="6026"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2DCD6982" w14:textId="77777777" w:rsidR="002E4A5B" w:rsidRDefault="00000000">
            <w:r>
              <w:rPr>
                <w:b/>
                <w:bCs/>
                <w:color w:val="FFFFFF"/>
              </w:rPr>
              <w:t>Detail</w:t>
            </w:r>
          </w:p>
        </w:tc>
      </w:tr>
      <w:tr w:rsidR="002E4A5B" w14:paraId="3E897F05" w14:textId="77777777">
        <w:tc>
          <w:tcPr>
            <w:tcW w:w="3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4F3DE76" w14:textId="77777777" w:rsidR="002E4A5B" w:rsidRDefault="00000000">
            <w:r>
              <w:rPr>
                <w:color w:val="333333"/>
              </w:rPr>
              <w:t>Document Owner</w:t>
            </w:r>
          </w:p>
        </w:tc>
        <w:tc>
          <w:tcPr>
            <w:tcW w:w="6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AAA3395" w14:textId="77777777" w:rsidR="002E4A5B" w:rsidRDefault="00000000">
            <w:r>
              <w:rPr>
                <w:color w:val="333333"/>
              </w:rPr>
              <w:t>Data Protection Lead, Student Radar</w:t>
            </w:r>
          </w:p>
        </w:tc>
      </w:tr>
      <w:tr w:rsidR="002E4A5B" w14:paraId="2605F274" w14:textId="77777777">
        <w:tc>
          <w:tcPr>
            <w:tcW w:w="3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BDABCE1" w14:textId="77777777" w:rsidR="002E4A5B" w:rsidRDefault="00000000">
            <w:r>
              <w:rPr>
                <w:color w:val="333333"/>
              </w:rPr>
              <w:t>Approved By</w:t>
            </w:r>
          </w:p>
        </w:tc>
        <w:tc>
          <w:tcPr>
            <w:tcW w:w="6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18CEA50" w14:textId="77777777" w:rsidR="002E4A5B" w:rsidRDefault="00000000">
            <w:r>
              <w:rPr>
                <w:color w:val="333333"/>
              </w:rPr>
              <w:t>Stuart Armley-Jones, Director</w:t>
            </w:r>
          </w:p>
        </w:tc>
      </w:tr>
      <w:tr w:rsidR="002E4A5B" w14:paraId="24CAC542" w14:textId="77777777">
        <w:tc>
          <w:tcPr>
            <w:tcW w:w="3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D331B7D" w14:textId="77777777" w:rsidR="002E4A5B" w:rsidRDefault="00000000">
            <w:r>
              <w:rPr>
                <w:color w:val="333333"/>
              </w:rPr>
              <w:t>Review Frequency</w:t>
            </w:r>
          </w:p>
        </w:tc>
        <w:tc>
          <w:tcPr>
            <w:tcW w:w="6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CB271F6" w14:textId="77777777" w:rsidR="002E4A5B" w:rsidRDefault="00000000">
            <w:r>
              <w:rPr>
                <w:color w:val="333333"/>
              </w:rPr>
              <w:t>Annually, or after any material change to services or legal requirements</w:t>
            </w:r>
          </w:p>
        </w:tc>
      </w:tr>
      <w:tr w:rsidR="002E4A5B" w14:paraId="5947DB79" w14:textId="77777777">
        <w:tc>
          <w:tcPr>
            <w:tcW w:w="3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1FE351E" w14:textId="77777777" w:rsidR="002E4A5B" w:rsidRDefault="00000000">
            <w:r>
              <w:rPr>
                <w:color w:val="333333"/>
              </w:rPr>
              <w:t>Next Review Date</w:t>
            </w:r>
          </w:p>
        </w:tc>
        <w:tc>
          <w:tcPr>
            <w:tcW w:w="6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04885F4" w14:textId="77777777" w:rsidR="002E4A5B" w:rsidRDefault="00000000">
            <w:r>
              <w:rPr>
                <w:color w:val="333333"/>
              </w:rPr>
              <w:t>February 2027</w:t>
            </w:r>
          </w:p>
        </w:tc>
      </w:tr>
      <w:tr w:rsidR="002E4A5B" w14:paraId="69B6C395" w14:textId="77777777">
        <w:tc>
          <w:tcPr>
            <w:tcW w:w="30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4BB9822" w14:textId="77777777" w:rsidR="002E4A5B" w:rsidRDefault="00000000">
            <w:r>
              <w:rPr>
                <w:color w:val="333333"/>
              </w:rPr>
              <w:t>Related Documents</w:t>
            </w:r>
          </w:p>
        </w:tc>
        <w:tc>
          <w:tcPr>
            <w:tcW w:w="60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BC82EC4" w14:textId="77777777" w:rsidR="002E4A5B" w:rsidRDefault="00000000">
            <w:r>
              <w:rPr>
                <w:color w:val="333333"/>
              </w:rPr>
              <w:t>Data Processing Agreement, Privacy Policy, Information Security Policy, Master Service Agreement</w:t>
            </w:r>
          </w:p>
        </w:tc>
      </w:tr>
    </w:tbl>
    <w:p w14:paraId="237A15AE" w14:textId="77777777" w:rsidR="002E4A5B" w:rsidRDefault="002E4A5B">
      <w:pPr>
        <w:spacing w:after="200"/>
      </w:pPr>
    </w:p>
    <w:p w14:paraId="1D9E72EE" w14:textId="77777777" w:rsidR="002E4A5B" w:rsidRDefault="00000000">
      <w:pPr>
        <w:pStyle w:val="Heading1"/>
      </w:pPr>
      <w:r>
        <w:t>1. Purpose</w:t>
      </w:r>
    </w:p>
    <w:p w14:paraId="62ABC935" w14:textId="77777777" w:rsidR="002E4A5B" w:rsidRDefault="00000000">
      <w:pPr>
        <w:spacing w:after="160" w:line="276" w:lineRule="auto"/>
      </w:pPr>
      <w:r>
        <w:t xml:space="preserve">This Data Retention Policy defines the periods for which Student Radar retains personal data and other information processed on behalf of its </w:t>
      </w:r>
      <w:proofErr w:type="gramStart"/>
      <w:r>
        <w:t>Customers</w:t>
      </w:r>
      <w:proofErr w:type="gramEnd"/>
      <w:r>
        <w:t xml:space="preserve"> (schools and Multi-Academy Trusts). It supports compliance with the UK GDPR data minimisation and storage limitation principles (Articles 5(1)(c) and 5(1)(e)) and the commitments made in the Data Processing Agreement (DPA), Privacy Policy, and Master Service Agreement (MSA).</w:t>
      </w:r>
    </w:p>
    <w:p w14:paraId="7352F1A8" w14:textId="77777777" w:rsidR="002E4A5B" w:rsidRDefault="00000000">
      <w:pPr>
        <w:spacing w:after="160" w:line="276" w:lineRule="auto"/>
      </w:pPr>
      <w:r>
        <w:t>This Policy applies to all data processed by Student Radar, whether held in production databases, backups, logs, or sub-processor systems.</w:t>
      </w:r>
    </w:p>
    <w:p w14:paraId="500DC074" w14:textId="77777777" w:rsidR="002E4A5B" w:rsidRDefault="00000000">
      <w:pPr>
        <w:pStyle w:val="Heading1"/>
      </w:pPr>
      <w:r>
        <w:t>2. Retention Principles</w:t>
      </w:r>
    </w:p>
    <w:p w14:paraId="3A9CF6BC" w14:textId="77777777" w:rsidR="002E4A5B" w:rsidRDefault="00000000" w:rsidP="00A16CF9">
      <w:pPr>
        <w:pStyle w:val="ListParagraph"/>
        <w:numPr>
          <w:ilvl w:val="0"/>
          <w:numId w:val="3"/>
        </w:numPr>
        <w:spacing w:after="80" w:line="276" w:lineRule="auto"/>
      </w:pPr>
      <w:r w:rsidRPr="00A16CF9">
        <w:rPr>
          <w:b/>
          <w:bCs/>
        </w:rPr>
        <w:t xml:space="preserve">Purpose limitation: </w:t>
      </w:r>
      <w:r>
        <w:t>Data is retained only for as long as necessary to fulfil the purpose for which it was collected or processed</w:t>
      </w:r>
    </w:p>
    <w:p w14:paraId="32B266E9" w14:textId="77777777" w:rsidR="002E4A5B" w:rsidRDefault="00000000" w:rsidP="00A16CF9">
      <w:pPr>
        <w:pStyle w:val="ListParagraph"/>
        <w:numPr>
          <w:ilvl w:val="0"/>
          <w:numId w:val="3"/>
        </w:numPr>
        <w:spacing w:after="80" w:line="276" w:lineRule="auto"/>
      </w:pPr>
      <w:r w:rsidRPr="00A16CF9">
        <w:rPr>
          <w:b/>
          <w:bCs/>
        </w:rPr>
        <w:t xml:space="preserve">Data minimisation: </w:t>
      </w:r>
      <w:r>
        <w:t>Only the minimum data required for the contracted purpose is held at any time</w:t>
      </w:r>
    </w:p>
    <w:p w14:paraId="0122BF9B" w14:textId="77777777" w:rsidR="002E4A5B" w:rsidRDefault="00000000" w:rsidP="00A16CF9">
      <w:pPr>
        <w:pStyle w:val="ListParagraph"/>
        <w:numPr>
          <w:ilvl w:val="0"/>
          <w:numId w:val="3"/>
        </w:numPr>
        <w:spacing w:after="80" w:line="276" w:lineRule="auto"/>
      </w:pPr>
      <w:r w:rsidRPr="00A16CF9">
        <w:rPr>
          <w:b/>
          <w:bCs/>
        </w:rPr>
        <w:t xml:space="preserve">Storage limitation: </w:t>
      </w:r>
      <w:r>
        <w:t>Retention periods are defined, documented, and enforced; data is not kept indefinitely without justification</w:t>
      </w:r>
    </w:p>
    <w:p w14:paraId="2D1D514F" w14:textId="77777777" w:rsidR="002E4A5B" w:rsidRDefault="00000000" w:rsidP="00A16CF9">
      <w:pPr>
        <w:pStyle w:val="ListParagraph"/>
        <w:numPr>
          <w:ilvl w:val="0"/>
          <w:numId w:val="3"/>
        </w:numPr>
        <w:spacing w:after="80" w:line="276" w:lineRule="auto"/>
      </w:pPr>
      <w:r w:rsidRPr="00A16CF9">
        <w:rPr>
          <w:b/>
          <w:bCs/>
        </w:rPr>
        <w:t xml:space="preserve">Secure disposal: </w:t>
      </w:r>
      <w:r>
        <w:t>When retention periods expire, data is securely deleted using methods appropriate to the storage medium, ensuring it cannot be recovered</w:t>
      </w:r>
    </w:p>
    <w:p w14:paraId="58C51FC9" w14:textId="77777777" w:rsidR="002E4A5B" w:rsidRDefault="00000000" w:rsidP="00A16CF9">
      <w:pPr>
        <w:pStyle w:val="ListParagraph"/>
        <w:numPr>
          <w:ilvl w:val="0"/>
          <w:numId w:val="3"/>
        </w:numPr>
        <w:spacing w:after="80" w:line="276" w:lineRule="auto"/>
      </w:pPr>
      <w:r w:rsidRPr="00A16CF9">
        <w:rPr>
          <w:b/>
          <w:bCs/>
        </w:rPr>
        <w:t xml:space="preserve">Accountability: </w:t>
      </w:r>
      <w:r>
        <w:t>Retention decisions are documented, reviewed annually, and available for audit</w:t>
      </w:r>
    </w:p>
    <w:p w14:paraId="1D61506E" w14:textId="77777777" w:rsidR="002E4A5B" w:rsidRDefault="00000000">
      <w:pPr>
        <w:pStyle w:val="Heading1"/>
      </w:pPr>
      <w:r>
        <w:t>3. Retention Schedule</w:t>
      </w:r>
    </w:p>
    <w:p w14:paraId="39574522" w14:textId="77777777" w:rsidR="002E4A5B" w:rsidRDefault="00000000">
      <w:pPr>
        <w:spacing w:after="160" w:line="276" w:lineRule="auto"/>
      </w:pPr>
      <w:r>
        <w:t>The following table sets out the retention periods for each category of data processed by Student Radar:</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00"/>
        <w:gridCol w:w="2600"/>
        <w:gridCol w:w="2200"/>
        <w:gridCol w:w="2626"/>
      </w:tblGrid>
      <w:tr w:rsidR="002E4A5B" w14:paraId="1233CC96" w14:textId="77777777">
        <w:trPr>
          <w:tblHeader/>
        </w:trPr>
        <w:tc>
          <w:tcPr>
            <w:tcW w:w="1600"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6403F387" w14:textId="77777777" w:rsidR="002E4A5B" w:rsidRDefault="00000000">
            <w:r>
              <w:rPr>
                <w:b/>
                <w:bCs/>
                <w:color w:val="FFFFFF"/>
              </w:rPr>
              <w:lastRenderedPageBreak/>
              <w:t>Data Category</w:t>
            </w:r>
          </w:p>
        </w:tc>
        <w:tc>
          <w:tcPr>
            <w:tcW w:w="2600"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06A27B81" w14:textId="77777777" w:rsidR="002E4A5B" w:rsidRDefault="00000000">
            <w:r>
              <w:rPr>
                <w:b/>
                <w:bCs/>
                <w:color w:val="FFFFFF"/>
              </w:rPr>
              <w:t>Description</w:t>
            </w:r>
          </w:p>
        </w:tc>
        <w:tc>
          <w:tcPr>
            <w:tcW w:w="2200"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2268C833" w14:textId="77777777" w:rsidR="002E4A5B" w:rsidRDefault="00000000">
            <w:r>
              <w:rPr>
                <w:b/>
                <w:bCs/>
                <w:color w:val="FFFFFF"/>
              </w:rPr>
              <w:t>Retention Period</w:t>
            </w:r>
          </w:p>
        </w:tc>
        <w:tc>
          <w:tcPr>
            <w:tcW w:w="2626"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28D5192E" w14:textId="77777777" w:rsidR="002E4A5B" w:rsidRDefault="00000000">
            <w:r>
              <w:rPr>
                <w:b/>
                <w:bCs/>
                <w:color w:val="FFFFFF"/>
              </w:rPr>
              <w:t>Basis / Justification</w:t>
            </w:r>
          </w:p>
        </w:tc>
      </w:tr>
      <w:tr w:rsidR="002E4A5B" w14:paraId="1064EC31" w14:textId="77777777">
        <w:tc>
          <w:tcPr>
            <w:tcW w:w="1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83C45EB" w14:textId="77777777" w:rsidR="002E4A5B" w:rsidRDefault="00000000">
            <w:r>
              <w:rPr>
                <w:color w:val="333333"/>
              </w:rPr>
              <w:t>Pupil demographic data</w:t>
            </w:r>
          </w:p>
        </w:tc>
        <w:tc>
          <w:tcPr>
            <w:tcW w:w="2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B5347BF" w14:textId="77777777" w:rsidR="002E4A5B" w:rsidRDefault="00000000">
            <w:r>
              <w:rPr>
                <w:color w:val="333333"/>
              </w:rPr>
              <w:t>Name, date of birth, UPN, year group, gender, ethnicity, FSM status, EAL status (synced from MIS via Wonde)</w:t>
            </w:r>
          </w:p>
        </w:tc>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4F4627E" w14:textId="77777777" w:rsidR="002E4A5B" w:rsidRDefault="00000000">
            <w:r>
              <w:rPr>
                <w:color w:val="333333"/>
              </w:rPr>
              <w:t>Duration of service agreement + up to 30 days (earlier deletion on request)</w:t>
            </w:r>
          </w:p>
        </w:tc>
        <w:tc>
          <w:tcPr>
            <w:tcW w:w="26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E738291" w14:textId="77777777" w:rsidR="002E4A5B" w:rsidRDefault="00000000">
            <w:r>
              <w:rPr>
                <w:color w:val="333333"/>
              </w:rPr>
              <w:t>Contractual necessity; deleted or returned on termination per DPA clause 8</w:t>
            </w:r>
          </w:p>
        </w:tc>
      </w:tr>
      <w:tr w:rsidR="002E4A5B" w14:paraId="723F9428" w14:textId="77777777">
        <w:tc>
          <w:tcPr>
            <w:tcW w:w="1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AC5BC6A" w14:textId="77777777" w:rsidR="002E4A5B" w:rsidRDefault="00000000">
            <w:r>
              <w:rPr>
                <w:color w:val="333333"/>
              </w:rPr>
              <w:t>SEND records</w:t>
            </w:r>
          </w:p>
        </w:tc>
        <w:tc>
          <w:tcPr>
            <w:tcW w:w="2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ED9F337" w14:textId="77777777" w:rsidR="002E4A5B" w:rsidRDefault="00000000">
            <w:r>
              <w:rPr>
                <w:color w:val="333333"/>
              </w:rPr>
              <w:t>SEN status, primary need, provisions, IEP content, EHCP references, intervention records</w:t>
            </w:r>
          </w:p>
        </w:tc>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A547479" w14:textId="77777777" w:rsidR="002E4A5B" w:rsidRDefault="00000000">
            <w:r>
              <w:rPr>
                <w:color w:val="333333"/>
              </w:rPr>
              <w:t>Duration of service agreement + up to 30 days (earlier deletion on request)</w:t>
            </w:r>
          </w:p>
        </w:tc>
        <w:tc>
          <w:tcPr>
            <w:tcW w:w="26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5052A96" w14:textId="77777777" w:rsidR="002E4A5B" w:rsidRDefault="00000000">
            <w:r>
              <w:rPr>
                <w:color w:val="333333"/>
              </w:rPr>
              <w:t xml:space="preserve">Contractual </w:t>
            </w:r>
            <w:proofErr w:type="gramStart"/>
            <w:r>
              <w:rPr>
                <w:color w:val="333333"/>
              </w:rPr>
              <w:t>necessity;</w:t>
            </w:r>
            <w:proofErr w:type="gramEnd"/>
            <w:r>
              <w:rPr>
                <w:color w:val="333333"/>
              </w:rPr>
              <w:t xml:space="preserve"> special category data (Article 9) processed under statutory duties exemption</w:t>
            </w:r>
          </w:p>
        </w:tc>
      </w:tr>
      <w:tr w:rsidR="002E4A5B" w14:paraId="671D499C" w14:textId="77777777">
        <w:tc>
          <w:tcPr>
            <w:tcW w:w="1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C23B04E" w14:textId="77777777" w:rsidR="002E4A5B" w:rsidRDefault="00000000">
            <w:r>
              <w:rPr>
                <w:color w:val="333333"/>
              </w:rPr>
              <w:t>Safeguarding records</w:t>
            </w:r>
          </w:p>
        </w:tc>
        <w:tc>
          <w:tcPr>
            <w:tcW w:w="2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02F57DB" w14:textId="77777777" w:rsidR="002E4A5B" w:rsidRDefault="00000000">
            <w:r>
              <w:rPr>
                <w:color w:val="333333"/>
              </w:rPr>
              <w:t>Safeguarding flags, concern logs, referral records, DSL notes</w:t>
            </w:r>
          </w:p>
        </w:tc>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34A5D40" w14:textId="77777777" w:rsidR="002E4A5B" w:rsidRDefault="00000000">
            <w:r>
              <w:rPr>
                <w:color w:val="333333"/>
              </w:rPr>
              <w:t>Duration of service agreement + up to 30 days (earlier deletion on request)</w:t>
            </w:r>
          </w:p>
        </w:tc>
        <w:tc>
          <w:tcPr>
            <w:tcW w:w="26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6E84149" w14:textId="77777777" w:rsidR="002E4A5B" w:rsidRDefault="00000000">
            <w:r>
              <w:rPr>
                <w:color w:val="333333"/>
              </w:rPr>
              <w:t xml:space="preserve">Contractual </w:t>
            </w:r>
            <w:proofErr w:type="gramStart"/>
            <w:r>
              <w:rPr>
                <w:color w:val="333333"/>
              </w:rPr>
              <w:t>necessity;</w:t>
            </w:r>
            <w:proofErr w:type="gramEnd"/>
            <w:r>
              <w:rPr>
                <w:color w:val="333333"/>
              </w:rPr>
              <w:t xml:space="preserve"> statutory safeguarding duties (KCSIE, Children Act 2004). Customer retains authoritative copy</w:t>
            </w:r>
          </w:p>
        </w:tc>
      </w:tr>
      <w:tr w:rsidR="002E4A5B" w14:paraId="416E7352" w14:textId="77777777">
        <w:tc>
          <w:tcPr>
            <w:tcW w:w="1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99DD96F" w14:textId="77777777" w:rsidR="002E4A5B" w:rsidRDefault="00000000">
            <w:r>
              <w:rPr>
                <w:color w:val="333333"/>
              </w:rPr>
              <w:t>Attendance data</w:t>
            </w:r>
          </w:p>
        </w:tc>
        <w:tc>
          <w:tcPr>
            <w:tcW w:w="2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7AB6983" w14:textId="77777777" w:rsidR="002E4A5B" w:rsidRDefault="00000000">
            <w:r>
              <w:rPr>
                <w:color w:val="333333"/>
              </w:rPr>
              <w:t>Daily attendance marks, absence codes, patterns (synced from MIS)</w:t>
            </w:r>
          </w:p>
        </w:tc>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5FBBFE6" w14:textId="77777777" w:rsidR="002E4A5B" w:rsidRDefault="00000000">
            <w:r>
              <w:rPr>
                <w:color w:val="333333"/>
              </w:rPr>
              <w:t>Duration of service agreement + up to 30 days (earlier deletion on request)</w:t>
            </w:r>
          </w:p>
        </w:tc>
        <w:tc>
          <w:tcPr>
            <w:tcW w:w="26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5FDB752" w14:textId="77777777" w:rsidR="002E4A5B" w:rsidRDefault="00000000">
            <w:r>
              <w:rPr>
                <w:color w:val="333333"/>
              </w:rPr>
              <w:t>Contractual necessity; used for pattern analysis and welfare monitoring</w:t>
            </w:r>
          </w:p>
        </w:tc>
      </w:tr>
      <w:tr w:rsidR="002E4A5B" w14:paraId="68CDFC21" w14:textId="77777777">
        <w:tc>
          <w:tcPr>
            <w:tcW w:w="1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54AE2E9" w14:textId="77777777" w:rsidR="002E4A5B" w:rsidRDefault="00000000">
            <w:r>
              <w:rPr>
                <w:color w:val="333333"/>
              </w:rPr>
              <w:t>Assessment data</w:t>
            </w:r>
          </w:p>
        </w:tc>
        <w:tc>
          <w:tcPr>
            <w:tcW w:w="2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4EFE17B" w14:textId="77777777" w:rsidR="002E4A5B" w:rsidRDefault="00000000">
            <w:r>
              <w:rPr>
                <w:color w:val="333333"/>
              </w:rPr>
              <w:t>Test scores, progress measures, baseline assessments, predicted grades</w:t>
            </w:r>
          </w:p>
        </w:tc>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1AA078B" w14:textId="77777777" w:rsidR="002E4A5B" w:rsidRDefault="00000000">
            <w:r>
              <w:rPr>
                <w:color w:val="333333"/>
              </w:rPr>
              <w:t>Duration of service agreement + up to 30 days (earlier deletion on request)</w:t>
            </w:r>
          </w:p>
        </w:tc>
        <w:tc>
          <w:tcPr>
            <w:tcW w:w="26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2F053DC" w14:textId="77777777" w:rsidR="002E4A5B" w:rsidRDefault="00000000">
            <w:r>
              <w:rPr>
                <w:color w:val="333333"/>
              </w:rPr>
              <w:t>Contractual necessity; used for progress tracking and reporting</w:t>
            </w:r>
          </w:p>
        </w:tc>
      </w:tr>
      <w:tr w:rsidR="002E4A5B" w14:paraId="78411830" w14:textId="77777777">
        <w:tc>
          <w:tcPr>
            <w:tcW w:w="1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14E7CB1" w14:textId="77777777" w:rsidR="002E4A5B" w:rsidRDefault="00000000">
            <w:r>
              <w:rPr>
                <w:color w:val="333333"/>
              </w:rPr>
              <w:t>Staff user data</w:t>
            </w:r>
          </w:p>
        </w:tc>
        <w:tc>
          <w:tcPr>
            <w:tcW w:w="2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B12720E" w14:textId="77777777" w:rsidR="002E4A5B" w:rsidRDefault="00000000">
            <w:r>
              <w:rPr>
                <w:color w:val="333333"/>
              </w:rPr>
              <w:t>Name, email, role, school affiliation, login credentials (hashed)</w:t>
            </w:r>
          </w:p>
        </w:tc>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DAE8889" w14:textId="77777777" w:rsidR="002E4A5B" w:rsidRDefault="00000000">
            <w:r>
              <w:rPr>
                <w:color w:val="333333"/>
              </w:rPr>
              <w:t>Duration of service agreement + up to 30 days (earlier deletion on request)</w:t>
            </w:r>
          </w:p>
        </w:tc>
        <w:tc>
          <w:tcPr>
            <w:tcW w:w="26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BB8B693" w14:textId="77777777" w:rsidR="002E4A5B" w:rsidRDefault="00000000">
            <w:r>
              <w:rPr>
                <w:color w:val="333333"/>
              </w:rPr>
              <w:t>Contractual and legitimate interest; access management and audit trail</w:t>
            </w:r>
          </w:p>
        </w:tc>
      </w:tr>
      <w:tr w:rsidR="002E4A5B" w14:paraId="45B58B57" w14:textId="77777777">
        <w:tc>
          <w:tcPr>
            <w:tcW w:w="1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449F420" w14:textId="77777777" w:rsidR="002E4A5B" w:rsidRDefault="00000000">
            <w:r>
              <w:rPr>
                <w:color w:val="333333"/>
              </w:rPr>
              <w:t>Parent/carer contact data</w:t>
            </w:r>
          </w:p>
        </w:tc>
        <w:tc>
          <w:tcPr>
            <w:tcW w:w="2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4277838" w14:textId="77777777" w:rsidR="002E4A5B" w:rsidRDefault="00000000">
            <w:r>
              <w:rPr>
                <w:color w:val="333333"/>
              </w:rPr>
              <w:t>Name, email, phone number (where Connect module is enabled)</w:t>
            </w:r>
          </w:p>
        </w:tc>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93BDB48" w14:textId="77777777" w:rsidR="002E4A5B" w:rsidRDefault="00000000">
            <w:r>
              <w:rPr>
                <w:color w:val="333333"/>
              </w:rPr>
              <w:t>Duration of service agreement + up to 30 days (earlier deletion on request)</w:t>
            </w:r>
          </w:p>
        </w:tc>
        <w:tc>
          <w:tcPr>
            <w:tcW w:w="26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85811F3" w14:textId="77777777" w:rsidR="002E4A5B" w:rsidRDefault="00000000">
            <w:r>
              <w:rPr>
                <w:color w:val="333333"/>
              </w:rPr>
              <w:t xml:space="preserve">Contractual </w:t>
            </w:r>
            <w:proofErr w:type="gramStart"/>
            <w:r>
              <w:rPr>
                <w:color w:val="333333"/>
              </w:rPr>
              <w:t>necessity;</w:t>
            </w:r>
            <w:proofErr w:type="gramEnd"/>
            <w:r>
              <w:rPr>
                <w:color w:val="333333"/>
              </w:rPr>
              <w:t xml:space="preserve"> communication via Connect module</w:t>
            </w:r>
          </w:p>
        </w:tc>
      </w:tr>
      <w:tr w:rsidR="002E4A5B" w14:paraId="219B2F09" w14:textId="77777777">
        <w:tc>
          <w:tcPr>
            <w:tcW w:w="1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0AF704E" w14:textId="77777777" w:rsidR="002E4A5B" w:rsidRDefault="00000000">
            <w:r>
              <w:rPr>
                <w:color w:val="333333"/>
              </w:rPr>
              <w:t>Authentication logs</w:t>
            </w:r>
          </w:p>
        </w:tc>
        <w:tc>
          <w:tcPr>
            <w:tcW w:w="2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5744929" w14:textId="77777777" w:rsidR="002E4A5B" w:rsidRDefault="00000000">
            <w:r>
              <w:rPr>
                <w:color w:val="333333"/>
              </w:rPr>
              <w:t>Login/logout events, failed attempts, MFA challenges, session tokens</w:t>
            </w:r>
          </w:p>
        </w:tc>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9278828" w14:textId="77777777" w:rsidR="002E4A5B" w:rsidRDefault="00000000">
            <w:r>
              <w:rPr>
                <w:color w:val="333333"/>
              </w:rPr>
              <w:t>13 months</w:t>
            </w:r>
          </w:p>
        </w:tc>
        <w:tc>
          <w:tcPr>
            <w:tcW w:w="26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C9F2D57" w14:textId="77777777" w:rsidR="002E4A5B" w:rsidRDefault="00000000">
            <w:r>
              <w:rPr>
                <w:color w:val="333333"/>
              </w:rPr>
              <w:t>Legitimate interest; security monitoring, incident investigation, compliance audit. 13-month period ensures coverage of annual audit cycles and seasonal safeguarding reviews</w:t>
            </w:r>
          </w:p>
        </w:tc>
      </w:tr>
      <w:tr w:rsidR="002E4A5B" w14:paraId="6271DA4A" w14:textId="77777777">
        <w:tc>
          <w:tcPr>
            <w:tcW w:w="1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9682A3C" w14:textId="77777777" w:rsidR="002E4A5B" w:rsidRDefault="00000000">
            <w:r>
              <w:rPr>
                <w:color w:val="333333"/>
              </w:rPr>
              <w:t>Audit logs</w:t>
            </w:r>
          </w:p>
        </w:tc>
        <w:tc>
          <w:tcPr>
            <w:tcW w:w="2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C2921F5" w14:textId="77777777" w:rsidR="002E4A5B" w:rsidRDefault="00000000">
            <w:r>
              <w:rPr>
                <w:color w:val="333333"/>
              </w:rPr>
              <w:t>Administrative actions, data exports, role changes, configuration changes</w:t>
            </w:r>
          </w:p>
        </w:tc>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1086589" w14:textId="77777777" w:rsidR="002E4A5B" w:rsidRDefault="00000000">
            <w:r>
              <w:rPr>
                <w:color w:val="333333"/>
              </w:rPr>
              <w:t>13 months</w:t>
            </w:r>
          </w:p>
        </w:tc>
        <w:tc>
          <w:tcPr>
            <w:tcW w:w="26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A2BEEB7" w14:textId="77777777" w:rsidR="002E4A5B" w:rsidRDefault="00000000">
            <w:r>
              <w:rPr>
                <w:color w:val="333333"/>
              </w:rPr>
              <w:t>Legitimate interest; accountability, security monitoring, regulatory compliance</w:t>
            </w:r>
          </w:p>
        </w:tc>
      </w:tr>
      <w:tr w:rsidR="002E4A5B" w14:paraId="7878267F" w14:textId="77777777">
        <w:tc>
          <w:tcPr>
            <w:tcW w:w="1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4D033BB" w14:textId="77777777" w:rsidR="002E4A5B" w:rsidRDefault="00000000">
            <w:r>
              <w:rPr>
                <w:color w:val="333333"/>
              </w:rPr>
              <w:lastRenderedPageBreak/>
              <w:t>Application error logs</w:t>
            </w:r>
          </w:p>
        </w:tc>
        <w:tc>
          <w:tcPr>
            <w:tcW w:w="2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25D6787" w14:textId="77777777" w:rsidR="002E4A5B" w:rsidRDefault="00000000">
            <w:r>
              <w:rPr>
                <w:color w:val="333333"/>
              </w:rPr>
              <w:t>Error traces, performance data (via Sentry; no PII in payloads)</w:t>
            </w:r>
          </w:p>
        </w:tc>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4594A4F" w14:textId="77777777" w:rsidR="002E4A5B" w:rsidRDefault="00000000">
            <w:r>
              <w:rPr>
                <w:color w:val="333333"/>
              </w:rPr>
              <w:t>90 days</w:t>
            </w:r>
          </w:p>
        </w:tc>
        <w:tc>
          <w:tcPr>
            <w:tcW w:w="26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0848F3F" w14:textId="77777777" w:rsidR="002E4A5B" w:rsidRDefault="00000000">
            <w:r>
              <w:rPr>
                <w:color w:val="333333"/>
              </w:rPr>
              <w:t>Legitimate interest; debugging, performance monitoring</w:t>
            </w:r>
          </w:p>
        </w:tc>
      </w:tr>
      <w:tr w:rsidR="002E4A5B" w14:paraId="3080EC6E" w14:textId="77777777">
        <w:tc>
          <w:tcPr>
            <w:tcW w:w="1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469C256" w14:textId="77777777" w:rsidR="002E4A5B" w:rsidRDefault="00000000">
            <w:r>
              <w:rPr>
                <w:color w:val="333333"/>
              </w:rPr>
              <w:t>Analytics data</w:t>
            </w:r>
          </w:p>
        </w:tc>
        <w:tc>
          <w:tcPr>
            <w:tcW w:w="2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8512758" w14:textId="77777777" w:rsidR="002E4A5B" w:rsidRDefault="00000000">
            <w:r>
              <w:rPr>
                <w:color w:val="333333"/>
              </w:rPr>
              <w:t>Aggregated and anonymised usage statistics, feature adoption metrics</w:t>
            </w:r>
          </w:p>
        </w:tc>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C5F4D76" w14:textId="77777777" w:rsidR="002E4A5B" w:rsidRDefault="00000000">
            <w:r>
              <w:rPr>
                <w:color w:val="333333"/>
              </w:rPr>
              <w:t>13 months</w:t>
            </w:r>
          </w:p>
        </w:tc>
        <w:tc>
          <w:tcPr>
            <w:tcW w:w="26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F2B7053" w14:textId="77777777" w:rsidR="002E4A5B" w:rsidRDefault="00000000">
            <w:r>
              <w:rPr>
                <w:color w:val="333333"/>
              </w:rPr>
              <w:t>Legitimate interest; service improvement. Non-identifiable data only</w:t>
            </w:r>
          </w:p>
        </w:tc>
      </w:tr>
      <w:tr w:rsidR="002E4A5B" w14:paraId="34B09F17" w14:textId="77777777">
        <w:tc>
          <w:tcPr>
            <w:tcW w:w="1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CFB0E5A" w14:textId="77777777" w:rsidR="002E4A5B" w:rsidRDefault="00000000">
            <w:r>
              <w:rPr>
                <w:color w:val="333333"/>
              </w:rPr>
              <w:t>Infrastructure logs</w:t>
            </w:r>
          </w:p>
        </w:tc>
        <w:tc>
          <w:tcPr>
            <w:tcW w:w="2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6627D18" w14:textId="77777777" w:rsidR="002E4A5B" w:rsidRDefault="00000000">
            <w:r>
              <w:rPr>
                <w:color w:val="333333"/>
              </w:rPr>
              <w:t>Server access logs, API request logs, database query logs</w:t>
            </w:r>
          </w:p>
        </w:tc>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B65D8DD" w14:textId="77777777" w:rsidR="002E4A5B" w:rsidRDefault="00000000">
            <w:r>
              <w:rPr>
                <w:color w:val="333333"/>
              </w:rPr>
              <w:t>13 months</w:t>
            </w:r>
          </w:p>
        </w:tc>
        <w:tc>
          <w:tcPr>
            <w:tcW w:w="26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D3D5346" w14:textId="77777777" w:rsidR="002E4A5B" w:rsidRDefault="00000000">
            <w:r>
              <w:rPr>
                <w:color w:val="333333"/>
              </w:rPr>
              <w:t>Legitimate interest; security monitoring, capacity planning</w:t>
            </w:r>
          </w:p>
        </w:tc>
      </w:tr>
      <w:tr w:rsidR="002E4A5B" w14:paraId="7EF8D745" w14:textId="77777777">
        <w:tc>
          <w:tcPr>
            <w:tcW w:w="1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6D3F62A" w14:textId="77777777" w:rsidR="002E4A5B" w:rsidRDefault="00000000">
            <w:r>
              <w:rPr>
                <w:color w:val="333333"/>
              </w:rPr>
              <w:t>Database backups</w:t>
            </w:r>
          </w:p>
        </w:tc>
        <w:tc>
          <w:tcPr>
            <w:tcW w:w="2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C97AE08" w14:textId="77777777" w:rsidR="002E4A5B" w:rsidRDefault="00000000">
            <w:r>
              <w:rPr>
                <w:color w:val="333333"/>
              </w:rPr>
              <w:t>Full database snapshots including all Customer Data</w:t>
            </w:r>
          </w:p>
        </w:tc>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1FC3DA7" w14:textId="77777777" w:rsidR="002E4A5B" w:rsidRDefault="00000000">
            <w:r>
              <w:rPr>
                <w:color w:val="333333"/>
              </w:rPr>
              <w:t>30 days rolling (production); up to 90 days after account termination</w:t>
            </w:r>
          </w:p>
        </w:tc>
        <w:tc>
          <w:tcPr>
            <w:tcW w:w="26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4D5F3DA" w14:textId="77777777" w:rsidR="002E4A5B" w:rsidRDefault="00000000">
            <w:r>
              <w:rPr>
                <w:color w:val="333333"/>
              </w:rPr>
              <w:t xml:space="preserve">Disaster </w:t>
            </w:r>
            <w:proofErr w:type="gramStart"/>
            <w:r>
              <w:rPr>
                <w:color w:val="333333"/>
              </w:rPr>
              <w:t>recovery;</w:t>
            </w:r>
            <w:proofErr w:type="gramEnd"/>
            <w:r>
              <w:rPr>
                <w:color w:val="333333"/>
              </w:rPr>
              <w:t xml:space="preserve"> backups containing Customer Data are purged within 90 days of termination</w:t>
            </w:r>
          </w:p>
        </w:tc>
      </w:tr>
      <w:tr w:rsidR="002E4A5B" w14:paraId="0290A94F" w14:textId="77777777">
        <w:tc>
          <w:tcPr>
            <w:tcW w:w="1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B67738B" w14:textId="77777777" w:rsidR="002E4A5B" w:rsidRDefault="00000000">
            <w:r>
              <w:rPr>
                <w:color w:val="333333"/>
              </w:rPr>
              <w:t>Point-in-time recovery logs</w:t>
            </w:r>
          </w:p>
        </w:tc>
        <w:tc>
          <w:tcPr>
            <w:tcW w:w="2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AC8708A" w14:textId="77777777" w:rsidR="002E4A5B" w:rsidRDefault="00000000">
            <w:r>
              <w:rPr>
                <w:color w:val="333333"/>
              </w:rPr>
              <w:t>Transaction logs enabling database restoration</w:t>
            </w:r>
          </w:p>
        </w:tc>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6923E31" w14:textId="77777777" w:rsidR="002E4A5B" w:rsidRDefault="00000000">
            <w:r>
              <w:rPr>
                <w:color w:val="333333"/>
              </w:rPr>
              <w:t>30 days rolling</w:t>
            </w:r>
          </w:p>
        </w:tc>
        <w:tc>
          <w:tcPr>
            <w:tcW w:w="26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368B266" w14:textId="77777777" w:rsidR="002E4A5B" w:rsidRDefault="00000000">
            <w:r>
              <w:rPr>
                <w:color w:val="333333"/>
              </w:rPr>
              <w:t>Disaster recovery; RPO target of 1 hour</w:t>
            </w:r>
          </w:p>
        </w:tc>
      </w:tr>
      <w:tr w:rsidR="002E4A5B" w14:paraId="5E55B84A" w14:textId="77777777">
        <w:tc>
          <w:tcPr>
            <w:tcW w:w="1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2BBDC4C" w14:textId="77777777" w:rsidR="002E4A5B" w:rsidRDefault="00000000">
            <w:r>
              <w:rPr>
                <w:color w:val="333333"/>
              </w:rPr>
              <w:t>Contract records</w:t>
            </w:r>
          </w:p>
        </w:tc>
        <w:tc>
          <w:tcPr>
            <w:tcW w:w="2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BFF039C" w14:textId="77777777" w:rsidR="002E4A5B" w:rsidRDefault="00000000">
            <w:r>
              <w:rPr>
                <w:color w:val="333333"/>
              </w:rPr>
              <w:t>Signed MSAs, Order Forms, DPAs, correspondence</w:t>
            </w:r>
          </w:p>
        </w:tc>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13A6AC3" w14:textId="77777777" w:rsidR="002E4A5B" w:rsidRDefault="00000000">
            <w:r>
              <w:rPr>
                <w:color w:val="333333"/>
              </w:rPr>
              <w:t>Duration of agreement + 6 years</w:t>
            </w:r>
          </w:p>
        </w:tc>
        <w:tc>
          <w:tcPr>
            <w:tcW w:w="26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91E66AC" w14:textId="77777777" w:rsidR="002E4A5B" w:rsidRDefault="00000000">
            <w:r>
              <w:rPr>
                <w:color w:val="333333"/>
              </w:rPr>
              <w:t>Legal obligation (Limitation Act 1980); regulatory and dispute resolution</w:t>
            </w:r>
          </w:p>
        </w:tc>
      </w:tr>
      <w:tr w:rsidR="002E4A5B" w14:paraId="415EC5DC" w14:textId="77777777">
        <w:tc>
          <w:tcPr>
            <w:tcW w:w="1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98BD217" w14:textId="77777777" w:rsidR="002E4A5B" w:rsidRDefault="00000000">
            <w:r>
              <w:rPr>
                <w:color w:val="333333"/>
              </w:rPr>
              <w:t>Billing and payment records</w:t>
            </w:r>
          </w:p>
        </w:tc>
        <w:tc>
          <w:tcPr>
            <w:tcW w:w="2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40782B7" w14:textId="77777777" w:rsidR="002E4A5B" w:rsidRDefault="00000000">
            <w:r>
              <w:rPr>
                <w:color w:val="333333"/>
              </w:rPr>
              <w:t>Invoices, payment confirmations, Stripe transaction references (no card numbers stored)</w:t>
            </w:r>
          </w:p>
        </w:tc>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F2E6F76" w14:textId="77777777" w:rsidR="002E4A5B" w:rsidRDefault="00000000">
            <w:r>
              <w:rPr>
                <w:color w:val="333333"/>
              </w:rPr>
              <w:t>Duration of agreement + 6 years</w:t>
            </w:r>
          </w:p>
        </w:tc>
        <w:tc>
          <w:tcPr>
            <w:tcW w:w="26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376D88F" w14:textId="77777777" w:rsidR="002E4A5B" w:rsidRDefault="00000000">
            <w:r>
              <w:rPr>
                <w:color w:val="333333"/>
              </w:rPr>
              <w:t>Legal obligation (tax, accounting); HMRC requirements</w:t>
            </w:r>
          </w:p>
        </w:tc>
      </w:tr>
      <w:tr w:rsidR="002E4A5B" w14:paraId="04930670" w14:textId="77777777">
        <w:tc>
          <w:tcPr>
            <w:tcW w:w="1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BD94F94" w14:textId="77777777" w:rsidR="002E4A5B" w:rsidRDefault="00000000">
            <w:r>
              <w:rPr>
                <w:color w:val="333333"/>
              </w:rPr>
              <w:t>Incident records</w:t>
            </w:r>
          </w:p>
        </w:tc>
        <w:tc>
          <w:tcPr>
            <w:tcW w:w="2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ACEC59F" w14:textId="77777777" w:rsidR="002E4A5B" w:rsidRDefault="00000000">
            <w:r>
              <w:rPr>
                <w:color w:val="333333"/>
              </w:rPr>
              <w:t>Incident Log entries, post-incident reports, notification records</w:t>
            </w:r>
          </w:p>
        </w:tc>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9802AF8" w14:textId="77777777" w:rsidR="002E4A5B" w:rsidRDefault="00000000">
            <w:r>
              <w:rPr>
                <w:color w:val="333333"/>
              </w:rPr>
              <w:t>6 years from incident closure</w:t>
            </w:r>
          </w:p>
        </w:tc>
        <w:tc>
          <w:tcPr>
            <w:tcW w:w="26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4FD4D81" w14:textId="77777777" w:rsidR="002E4A5B" w:rsidRDefault="00000000">
            <w:r>
              <w:rPr>
                <w:color w:val="333333"/>
              </w:rPr>
              <w:t>Regulatory expectation; ICO investigation window; Limitation Act</w:t>
            </w:r>
          </w:p>
        </w:tc>
      </w:tr>
      <w:tr w:rsidR="002E4A5B" w14:paraId="49BBDC2F" w14:textId="77777777">
        <w:tc>
          <w:tcPr>
            <w:tcW w:w="1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76AAF7C" w14:textId="77777777" w:rsidR="002E4A5B" w:rsidRDefault="00000000">
            <w:r>
              <w:rPr>
                <w:color w:val="333333"/>
              </w:rPr>
              <w:t>AI input/output logs</w:t>
            </w:r>
          </w:p>
        </w:tc>
        <w:tc>
          <w:tcPr>
            <w:tcW w:w="2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2DAF5BF" w14:textId="77777777" w:rsidR="002E4A5B" w:rsidRDefault="00000000">
            <w:r>
              <w:rPr>
                <w:color w:val="333333"/>
              </w:rPr>
              <w:t>Tokenised prompts and responses from AI features (no raw PII)</w:t>
            </w:r>
          </w:p>
        </w:tc>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5128816" w14:textId="77777777" w:rsidR="002E4A5B" w:rsidRDefault="00000000">
            <w:r>
              <w:rPr>
                <w:color w:val="333333"/>
              </w:rPr>
              <w:t>90 days</w:t>
            </w:r>
          </w:p>
        </w:tc>
        <w:tc>
          <w:tcPr>
            <w:tcW w:w="26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2FB9CD1" w14:textId="77777777" w:rsidR="002E4A5B" w:rsidRDefault="00000000">
            <w:r>
              <w:rPr>
                <w:color w:val="333333"/>
              </w:rPr>
              <w:t>AI input/output content logs are retained for 90 days to support audit and review. AI invocation metadata (feature used, timestamp, hash of input/output, user ID) is retained for 13 months in the platform audit log.</w:t>
            </w:r>
          </w:p>
        </w:tc>
      </w:tr>
      <w:tr w:rsidR="002E4A5B" w14:paraId="2D8010F0" w14:textId="77777777">
        <w:tc>
          <w:tcPr>
            <w:tcW w:w="1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6FAE43F" w14:textId="77777777" w:rsidR="002E4A5B" w:rsidRDefault="00000000">
            <w:r>
              <w:rPr>
                <w:color w:val="333333"/>
              </w:rPr>
              <w:t>Transactional emails</w:t>
            </w:r>
          </w:p>
        </w:tc>
        <w:tc>
          <w:tcPr>
            <w:tcW w:w="2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2131151" w14:textId="77777777" w:rsidR="002E4A5B" w:rsidRDefault="00000000">
            <w:r>
              <w:rPr>
                <w:color w:val="333333"/>
              </w:rPr>
              <w:t>Email delivery logs (via Resend); subject, recipient, delivery status</w:t>
            </w:r>
          </w:p>
        </w:tc>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08C0E64" w14:textId="77777777" w:rsidR="002E4A5B" w:rsidRDefault="00000000">
            <w:r>
              <w:rPr>
                <w:color w:val="333333"/>
              </w:rPr>
              <w:t>90 days</w:t>
            </w:r>
          </w:p>
        </w:tc>
        <w:tc>
          <w:tcPr>
            <w:tcW w:w="26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810F47C" w14:textId="77777777" w:rsidR="002E4A5B" w:rsidRDefault="00000000">
            <w:r>
              <w:rPr>
                <w:color w:val="333333"/>
              </w:rPr>
              <w:t>Legitimate interest; delivery confirmation, troubleshooting</w:t>
            </w:r>
          </w:p>
        </w:tc>
      </w:tr>
      <w:tr w:rsidR="002E4A5B" w14:paraId="29B35997" w14:textId="77777777">
        <w:tc>
          <w:tcPr>
            <w:tcW w:w="1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516A380" w14:textId="77777777" w:rsidR="002E4A5B" w:rsidRDefault="00000000">
            <w:r>
              <w:rPr>
                <w:color w:val="333333"/>
              </w:rPr>
              <w:t>SMS delivery logs</w:t>
            </w:r>
          </w:p>
        </w:tc>
        <w:tc>
          <w:tcPr>
            <w:tcW w:w="2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08B36F2" w14:textId="77777777" w:rsidR="002E4A5B" w:rsidRDefault="00000000">
            <w:r>
              <w:rPr>
                <w:color w:val="333333"/>
              </w:rPr>
              <w:t>SMS send records (via Twilio); recipient number, delivery status</w:t>
            </w:r>
          </w:p>
        </w:tc>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7C7CCC3" w14:textId="77777777" w:rsidR="002E4A5B" w:rsidRDefault="00000000">
            <w:r>
              <w:rPr>
                <w:color w:val="333333"/>
              </w:rPr>
              <w:t>90 days</w:t>
            </w:r>
          </w:p>
        </w:tc>
        <w:tc>
          <w:tcPr>
            <w:tcW w:w="26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7072F6E" w14:textId="77777777" w:rsidR="002E4A5B" w:rsidRDefault="00000000">
            <w:r>
              <w:rPr>
                <w:color w:val="333333"/>
              </w:rPr>
              <w:t>Legitimate interest; delivery confirmation, troubleshooting</w:t>
            </w:r>
          </w:p>
        </w:tc>
      </w:tr>
      <w:tr w:rsidR="002E4A5B" w14:paraId="18A978C9" w14:textId="77777777">
        <w:tc>
          <w:tcPr>
            <w:tcW w:w="1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080CC65" w14:textId="77777777" w:rsidR="002E4A5B" w:rsidRDefault="00000000">
            <w:r>
              <w:rPr>
                <w:color w:val="333333"/>
              </w:rPr>
              <w:lastRenderedPageBreak/>
              <w:t>Website analytics cookies</w:t>
            </w:r>
          </w:p>
        </w:tc>
        <w:tc>
          <w:tcPr>
            <w:tcW w:w="2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82E3707" w14:textId="77777777" w:rsidR="002E4A5B" w:rsidRDefault="00000000">
            <w:r>
              <w:rPr>
                <w:color w:val="333333"/>
              </w:rPr>
              <w:t>Anonymous browsing data (if analytics enabled on studentradar.com)</w:t>
            </w:r>
          </w:p>
        </w:tc>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001D672" w14:textId="77777777" w:rsidR="002E4A5B" w:rsidRDefault="00000000">
            <w:r>
              <w:rPr>
                <w:color w:val="333333"/>
              </w:rPr>
              <w:t>13 months from last activity</w:t>
            </w:r>
          </w:p>
        </w:tc>
        <w:tc>
          <w:tcPr>
            <w:tcW w:w="26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18C9127" w14:textId="77777777" w:rsidR="002E4A5B" w:rsidRDefault="00000000">
            <w:r>
              <w:rPr>
                <w:color w:val="333333"/>
              </w:rPr>
              <w:t>Consent-based; in accordance with Cookie Policy</w:t>
            </w:r>
          </w:p>
        </w:tc>
      </w:tr>
      <w:tr w:rsidR="002E4A5B" w14:paraId="72B449BE" w14:textId="77777777">
        <w:tc>
          <w:tcPr>
            <w:tcW w:w="1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88B74E9" w14:textId="77777777" w:rsidR="002E4A5B" w:rsidRDefault="00000000">
            <w:r>
              <w:rPr>
                <w:color w:val="333333"/>
              </w:rPr>
              <w:t>Session cookies</w:t>
            </w:r>
          </w:p>
        </w:tc>
        <w:tc>
          <w:tcPr>
            <w:tcW w:w="26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910E9D5" w14:textId="77777777" w:rsidR="002E4A5B" w:rsidRDefault="00000000">
            <w:r>
              <w:rPr>
                <w:color w:val="333333"/>
              </w:rPr>
              <w:t>Authentication session identifiers</w:t>
            </w:r>
          </w:p>
        </w:tc>
        <w:tc>
          <w:tcPr>
            <w:tcW w:w="2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8E76C63" w14:textId="77777777" w:rsidR="002E4A5B" w:rsidRDefault="00000000">
            <w:r>
              <w:rPr>
                <w:color w:val="333333"/>
              </w:rPr>
              <w:t>Duration of session (or configurable expiry)</w:t>
            </w:r>
          </w:p>
        </w:tc>
        <w:tc>
          <w:tcPr>
            <w:tcW w:w="26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1361443" w14:textId="77777777" w:rsidR="002E4A5B" w:rsidRDefault="00000000">
            <w:r>
              <w:rPr>
                <w:color w:val="333333"/>
              </w:rPr>
              <w:t>Strictly necessary; no consent required</w:t>
            </w:r>
          </w:p>
        </w:tc>
      </w:tr>
    </w:tbl>
    <w:p w14:paraId="097E0473" w14:textId="77777777" w:rsidR="002E4A5B" w:rsidRDefault="002E4A5B">
      <w:pPr>
        <w:spacing w:after="200"/>
      </w:pPr>
    </w:p>
    <w:p w14:paraId="427D5E02" w14:textId="77777777" w:rsidR="002E4A5B" w:rsidRDefault="00000000">
      <w:pPr>
        <w:pStyle w:val="Heading1"/>
      </w:pPr>
      <w:r>
        <w:t>4. Data Handling on Termination</w:t>
      </w:r>
    </w:p>
    <w:p w14:paraId="5E8C4F56" w14:textId="77777777" w:rsidR="002E4A5B" w:rsidRDefault="00000000">
      <w:pPr>
        <w:spacing w:after="160" w:line="276" w:lineRule="auto"/>
      </w:pPr>
      <w:r>
        <w:t>When the service agreement between Student Radar and a Customer terminates or expires, the following process applies:</w:t>
      </w:r>
    </w:p>
    <w:p w14:paraId="47CC8390" w14:textId="77777777" w:rsidR="002E4A5B" w:rsidRDefault="00000000">
      <w:pPr>
        <w:pStyle w:val="Heading2"/>
      </w:pPr>
      <w:r>
        <w:t>4.1 Data Export Period</w:t>
      </w:r>
    </w:p>
    <w:p w14:paraId="0BE005AE" w14:textId="77777777" w:rsidR="002E4A5B" w:rsidRDefault="00000000">
      <w:pPr>
        <w:spacing w:after="160" w:line="276" w:lineRule="auto"/>
      </w:pPr>
      <w:r>
        <w:t>Student Radar shall, within 30 days of termination, make Customer Data available for export in a reasonable machine-readable format (CSV, XML, or equivalent). The Customer is responsible for initiating the export during this period.</w:t>
      </w:r>
    </w:p>
    <w:p w14:paraId="2C4699F0" w14:textId="77777777" w:rsidR="002E4A5B" w:rsidRDefault="00000000">
      <w:pPr>
        <w:pStyle w:val="Heading2"/>
      </w:pPr>
      <w:r>
        <w:t>4.2 Deletion of Customer Data</w:t>
      </w:r>
    </w:p>
    <w:p w14:paraId="2B8C48BB" w14:textId="77777777" w:rsidR="002E4A5B" w:rsidRDefault="00000000">
      <w:pPr>
        <w:spacing w:after="160" w:line="276" w:lineRule="auto"/>
      </w:pPr>
      <w:r>
        <w:t>After expiry of the 30-day data export period, Student Radar shall securely delete all Customer Data from production systems. This includes:</w:t>
      </w:r>
    </w:p>
    <w:p w14:paraId="3FCEFEC8" w14:textId="77777777" w:rsidR="002E4A5B" w:rsidRDefault="00000000" w:rsidP="00A16CF9">
      <w:pPr>
        <w:pStyle w:val="ListParagraph"/>
        <w:numPr>
          <w:ilvl w:val="0"/>
          <w:numId w:val="4"/>
        </w:numPr>
        <w:spacing w:after="80" w:line="276" w:lineRule="auto"/>
      </w:pPr>
      <w:r>
        <w:t>Pupil demographic, SEND, safeguarding, attendance, and assessment data</w:t>
      </w:r>
    </w:p>
    <w:p w14:paraId="03111820" w14:textId="77777777" w:rsidR="002E4A5B" w:rsidRDefault="00000000" w:rsidP="00A16CF9">
      <w:pPr>
        <w:pStyle w:val="ListParagraph"/>
        <w:numPr>
          <w:ilvl w:val="0"/>
          <w:numId w:val="4"/>
        </w:numPr>
        <w:spacing w:after="80" w:line="276" w:lineRule="auto"/>
      </w:pPr>
      <w:r>
        <w:t>Staff user accounts and credentials</w:t>
      </w:r>
    </w:p>
    <w:p w14:paraId="41D73275" w14:textId="77777777" w:rsidR="002E4A5B" w:rsidRDefault="00000000" w:rsidP="00A16CF9">
      <w:pPr>
        <w:pStyle w:val="ListParagraph"/>
        <w:numPr>
          <w:ilvl w:val="0"/>
          <w:numId w:val="4"/>
        </w:numPr>
        <w:spacing w:after="80" w:line="276" w:lineRule="auto"/>
      </w:pPr>
      <w:r>
        <w:t>Parent/carer contact data</w:t>
      </w:r>
    </w:p>
    <w:p w14:paraId="77B77A22" w14:textId="77777777" w:rsidR="002E4A5B" w:rsidRDefault="00000000" w:rsidP="00A16CF9">
      <w:pPr>
        <w:pStyle w:val="ListParagraph"/>
        <w:numPr>
          <w:ilvl w:val="0"/>
          <w:numId w:val="4"/>
        </w:numPr>
        <w:spacing w:after="80" w:line="276" w:lineRule="auto"/>
      </w:pPr>
      <w:r>
        <w:t>Any Customer-uploaded content or documents</w:t>
      </w:r>
    </w:p>
    <w:p w14:paraId="54D57412" w14:textId="77777777" w:rsidR="002E4A5B" w:rsidRDefault="00000000">
      <w:pPr>
        <w:pStyle w:val="Heading2"/>
      </w:pPr>
      <w:r>
        <w:t>4.3 Backup Purge</w:t>
      </w:r>
    </w:p>
    <w:p w14:paraId="1BD2AAD6" w14:textId="77777777" w:rsidR="002E4A5B" w:rsidRDefault="00000000">
      <w:pPr>
        <w:spacing w:after="160" w:line="276" w:lineRule="auto"/>
      </w:pPr>
      <w:r>
        <w:t>Backups containing Customer Data are purged within 90 days of account termination. This reflects the maximum technical lifecycle of encrypted rolling backups. During this period, backups remain encrypted at rest (AES-256) and subject to the same access controls as production data.</w:t>
      </w:r>
    </w:p>
    <w:p w14:paraId="7BF0947A" w14:textId="77777777" w:rsidR="002E4A5B" w:rsidRDefault="00000000">
      <w:pPr>
        <w:pStyle w:val="Heading2"/>
      </w:pPr>
      <w:r>
        <w:t>4.4 Retained Data</w:t>
      </w:r>
    </w:p>
    <w:p w14:paraId="577D0A20" w14:textId="77777777" w:rsidR="002E4A5B" w:rsidRDefault="00000000">
      <w:pPr>
        <w:spacing w:after="160" w:line="276" w:lineRule="auto"/>
      </w:pPr>
      <w:r>
        <w:t>The following data is retained after termination in accordance with legal obligations:</w:t>
      </w:r>
    </w:p>
    <w:p w14:paraId="72FA4690" w14:textId="77777777" w:rsidR="002E4A5B" w:rsidRDefault="00000000" w:rsidP="00A16CF9">
      <w:pPr>
        <w:pStyle w:val="ListParagraph"/>
        <w:numPr>
          <w:ilvl w:val="0"/>
          <w:numId w:val="5"/>
        </w:numPr>
        <w:spacing w:after="80" w:line="276" w:lineRule="auto"/>
      </w:pPr>
      <w:r>
        <w:t>Contract records and billing data: 6 years (Limitation Act 1980, HMRC requirements)</w:t>
      </w:r>
    </w:p>
    <w:p w14:paraId="0671F375" w14:textId="77777777" w:rsidR="002E4A5B" w:rsidRDefault="00000000" w:rsidP="00A16CF9">
      <w:pPr>
        <w:pStyle w:val="ListParagraph"/>
        <w:numPr>
          <w:ilvl w:val="0"/>
          <w:numId w:val="5"/>
        </w:numPr>
        <w:spacing w:after="80" w:line="276" w:lineRule="auto"/>
      </w:pPr>
      <w:r>
        <w:t>Incident records: 6 years from closure (regulatory expectation)</w:t>
      </w:r>
    </w:p>
    <w:p w14:paraId="5C958D9E" w14:textId="77777777" w:rsidR="002E4A5B" w:rsidRDefault="00000000" w:rsidP="00A16CF9">
      <w:pPr>
        <w:pStyle w:val="ListParagraph"/>
        <w:numPr>
          <w:ilvl w:val="0"/>
          <w:numId w:val="5"/>
        </w:numPr>
        <w:spacing w:after="80" w:line="276" w:lineRule="auto"/>
      </w:pPr>
      <w:r>
        <w:t xml:space="preserve">Anonymised analytics data is retained for up to 3 years for trend analysis and product improvement. Anonymisation is performed in accordance with the ICO anonymisation </w:t>
      </w:r>
      <w:r>
        <w:lastRenderedPageBreak/>
        <w:t>code of practice. Customers may opt out of inclusion in anonymised analytics by written notice.</w:t>
      </w:r>
    </w:p>
    <w:p w14:paraId="7066D67D" w14:textId="77777777" w:rsidR="002E4A5B" w:rsidRDefault="00000000">
      <w:pPr>
        <w:pStyle w:val="Heading2"/>
      </w:pPr>
      <w:r>
        <w:t>4.5 Certificate of Deletion</w:t>
      </w:r>
    </w:p>
    <w:p w14:paraId="343F6F6C" w14:textId="77777777" w:rsidR="002E4A5B" w:rsidRDefault="00000000">
      <w:pPr>
        <w:spacing w:after="160" w:line="276" w:lineRule="auto"/>
      </w:pPr>
      <w:r>
        <w:t>A certificate of deletion is available to the Customer on request, confirming the date and scope of data deletion from production systems and (once completed) from backups.</w:t>
      </w:r>
    </w:p>
    <w:p w14:paraId="00A25F60" w14:textId="77777777" w:rsidR="002E4A5B" w:rsidRDefault="00000000">
      <w:pPr>
        <w:pStyle w:val="Heading1"/>
      </w:pPr>
      <w:r>
        <w:t>5. Secure Disposal Methods</w:t>
      </w:r>
    </w:p>
    <w:p w14:paraId="703190E2" w14:textId="77777777" w:rsidR="002E4A5B" w:rsidRDefault="00000000">
      <w:pPr>
        <w:spacing w:after="160" w:line="276" w:lineRule="auto"/>
      </w:pPr>
      <w:r>
        <w:t>Data deletion is performed using methods appropriate to the storage medium:</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5826"/>
      </w:tblGrid>
      <w:tr w:rsidR="002E4A5B" w14:paraId="7129EFA8" w14:textId="77777777">
        <w:trPr>
          <w:tblHeader/>
        </w:trPr>
        <w:tc>
          <w:tcPr>
            <w:tcW w:w="3200"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389011FC" w14:textId="77777777" w:rsidR="002E4A5B" w:rsidRDefault="00000000">
            <w:r>
              <w:rPr>
                <w:b/>
                <w:bCs/>
                <w:color w:val="FFFFFF"/>
              </w:rPr>
              <w:t>Storage Type</w:t>
            </w:r>
          </w:p>
        </w:tc>
        <w:tc>
          <w:tcPr>
            <w:tcW w:w="5826"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0A0EB45C" w14:textId="77777777" w:rsidR="002E4A5B" w:rsidRDefault="00000000">
            <w:r>
              <w:rPr>
                <w:b/>
                <w:bCs/>
                <w:color w:val="FFFFFF"/>
              </w:rPr>
              <w:t>Disposal Method</w:t>
            </w:r>
          </w:p>
        </w:tc>
      </w:tr>
      <w:tr w:rsidR="002E4A5B" w14:paraId="7300E7FB" w14:textId="77777777">
        <w:tc>
          <w:tcPr>
            <w:tcW w:w="3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0DBEFBF" w14:textId="77777777" w:rsidR="002E4A5B" w:rsidRDefault="00000000">
            <w:r>
              <w:rPr>
                <w:color w:val="333333"/>
              </w:rPr>
              <w:t>Production database (</w:t>
            </w:r>
            <w:proofErr w:type="spellStart"/>
            <w:r>
              <w:rPr>
                <w:color w:val="333333"/>
              </w:rPr>
              <w:t>Supabase</w:t>
            </w:r>
            <w:proofErr w:type="spellEnd"/>
            <w:r>
              <w:rPr>
                <w:color w:val="333333"/>
              </w:rPr>
              <w:t>/PostgreSQL)</w:t>
            </w:r>
          </w:p>
        </w:tc>
        <w:tc>
          <w:tcPr>
            <w:tcW w:w="58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0896BFF" w14:textId="77777777" w:rsidR="002E4A5B" w:rsidRDefault="00000000">
            <w:r>
              <w:rPr>
                <w:color w:val="333333"/>
              </w:rPr>
              <w:t>Logical deletion with cryptographic erasure; rows permanently removed, storage blocks overwritten by database engine</w:t>
            </w:r>
          </w:p>
        </w:tc>
      </w:tr>
      <w:tr w:rsidR="002E4A5B" w14:paraId="2007E4B5" w14:textId="77777777">
        <w:tc>
          <w:tcPr>
            <w:tcW w:w="3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4D079EE" w14:textId="77777777" w:rsidR="002E4A5B" w:rsidRDefault="00000000">
            <w:r>
              <w:rPr>
                <w:color w:val="333333"/>
              </w:rPr>
              <w:t>File storage (</w:t>
            </w:r>
            <w:proofErr w:type="spellStart"/>
            <w:r>
              <w:rPr>
                <w:color w:val="333333"/>
              </w:rPr>
              <w:t>Supabase</w:t>
            </w:r>
            <w:proofErr w:type="spellEnd"/>
            <w:r>
              <w:rPr>
                <w:color w:val="333333"/>
              </w:rPr>
              <w:t xml:space="preserve"> Storage)</w:t>
            </w:r>
          </w:p>
        </w:tc>
        <w:tc>
          <w:tcPr>
            <w:tcW w:w="58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CE24899" w14:textId="77777777" w:rsidR="002E4A5B" w:rsidRDefault="00000000">
            <w:r>
              <w:rPr>
                <w:color w:val="333333"/>
              </w:rPr>
              <w:t>Object deletion with bucket-level lifecycle policies</w:t>
            </w:r>
          </w:p>
        </w:tc>
      </w:tr>
      <w:tr w:rsidR="002E4A5B" w14:paraId="37C47BB7" w14:textId="77777777">
        <w:tc>
          <w:tcPr>
            <w:tcW w:w="3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9DDC666" w14:textId="77777777" w:rsidR="002E4A5B" w:rsidRDefault="00000000">
            <w:r>
              <w:rPr>
                <w:color w:val="333333"/>
              </w:rPr>
              <w:t>Backups (encrypted snapshots)</w:t>
            </w:r>
          </w:p>
        </w:tc>
        <w:tc>
          <w:tcPr>
            <w:tcW w:w="58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C111E4D" w14:textId="77777777" w:rsidR="002E4A5B" w:rsidRDefault="00000000">
            <w:r>
              <w:rPr>
                <w:color w:val="333333"/>
              </w:rPr>
              <w:t>Automatic expiry under retention policy; encrypted at rest (AES-256) until purged</w:t>
            </w:r>
          </w:p>
        </w:tc>
      </w:tr>
      <w:tr w:rsidR="002E4A5B" w14:paraId="5FEC3D98" w14:textId="77777777">
        <w:tc>
          <w:tcPr>
            <w:tcW w:w="3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7CAEC2F" w14:textId="77777777" w:rsidR="002E4A5B" w:rsidRDefault="00000000">
            <w:r>
              <w:rPr>
                <w:color w:val="333333"/>
              </w:rPr>
              <w:t>Logs (application, audit, infrastructure)</w:t>
            </w:r>
          </w:p>
        </w:tc>
        <w:tc>
          <w:tcPr>
            <w:tcW w:w="58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ED36C3E" w14:textId="77777777" w:rsidR="002E4A5B" w:rsidRDefault="00000000">
            <w:r>
              <w:rPr>
                <w:color w:val="333333"/>
              </w:rPr>
              <w:t>Automatic rotation and deletion on retention expiry</w:t>
            </w:r>
          </w:p>
        </w:tc>
      </w:tr>
      <w:tr w:rsidR="002E4A5B" w14:paraId="2F696756" w14:textId="77777777">
        <w:tc>
          <w:tcPr>
            <w:tcW w:w="3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503DD78" w14:textId="77777777" w:rsidR="002E4A5B" w:rsidRDefault="00000000">
            <w:r>
              <w:rPr>
                <w:color w:val="333333"/>
              </w:rPr>
              <w:t>Sub-processor systems</w:t>
            </w:r>
          </w:p>
        </w:tc>
        <w:tc>
          <w:tcPr>
            <w:tcW w:w="58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053F1A1" w14:textId="77777777" w:rsidR="002E4A5B" w:rsidRDefault="00000000">
            <w:r>
              <w:rPr>
                <w:color w:val="333333"/>
              </w:rPr>
              <w:t>Deletion in accordance with sub-processor DPA and data processing terms</w:t>
            </w:r>
          </w:p>
        </w:tc>
      </w:tr>
      <w:tr w:rsidR="002E4A5B" w14:paraId="3110A0D5" w14:textId="77777777">
        <w:tc>
          <w:tcPr>
            <w:tcW w:w="32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9AE0A68" w14:textId="77777777" w:rsidR="002E4A5B" w:rsidRDefault="00000000">
            <w:r>
              <w:rPr>
                <w:color w:val="333333"/>
              </w:rPr>
              <w:t>Local devices</w:t>
            </w:r>
          </w:p>
        </w:tc>
        <w:tc>
          <w:tcPr>
            <w:tcW w:w="58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4D240E7" w14:textId="77777777" w:rsidR="002E4A5B" w:rsidRDefault="00000000">
            <w:r>
              <w:rPr>
                <w:color w:val="333333"/>
              </w:rPr>
              <w:t>Customer Data is prohibited on local devices per Information Security Policy (except transient in-memory processing required for system operation)</w:t>
            </w:r>
          </w:p>
        </w:tc>
      </w:tr>
    </w:tbl>
    <w:p w14:paraId="65F6C6B8" w14:textId="77777777" w:rsidR="002E4A5B" w:rsidRDefault="002E4A5B">
      <w:pPr>
        <w:spacing w:after="200"/>
      </w:pPr>
    </w:p>
    <w:p w14:paraId="47327BA7" w14:textId="77777777" w:rsidR="002E4A5B" w:rsidRDefault="00000000">
      <w:pPr>
        <w:pStyle w:val="Heading1"/>
      </w:pPr>
      <w:r>
        <w:t>6. Legal Holds and Exceptions</w:t>
      </w:r>
    </w:p>
    <w:p w14:paraId="76BE8457" w14:textId="77777777" w:rsidR="002E4A5B" w:rsidRDefault="00000000">
      <w:pPr>
        <w:spacing w:after="160" w:line="276" w:lineRule="auto"/>
      </w:pPr>
      <w:r>
        <w:t>Retention periods may be extended in the following circumstances:</w:t>
      </w:r>
    </w:p>
    <w:p w14:paraId="05E7F32C" w14:textId="77777777" w:rsidR="002E4A5B" w:rsidRDefault="00000000" w:rsidP="003D4E72">
      <w:pPr>
        <w:pStyle w:val="ListParagraph"/>
        <w:numPr>
          <w:ilvl w:val="0"/>
          <w:numId w:val="6"/>
        </w:numPr>
        <w:spacing w:after="80" w:line="276" w:lineRule="auto"/>
      </w:pPr>
      <w:r w:rsidRPr="003D4E72">
        <w:rPr>
          <w:b/>
          <w:bCs/>
        </w:rPr>
        <w:t xml:space="preserve">Legal hold: </w:t>
      </w:r>
      <w:r>
        <w:t>Where Student Radar is subject to litigation, regulatory investigation, or law enforcement request, relevant data shall be preserved until the hold is lifted, regardless of standard retention periods</w:t>
      </w:r>
    </w:p>
    <w:p w14:paraId="2E689250" w14:textId="77777777" w:rsidR="002E4A5B" w:rsidRDefault="00000000" w:rsidP="003D4E72">
      <w:pPr>
        <w:pStyle w:val="ListParagraph"/>
        <w:numPr>
          <w:ilvl w:val="0"/>
          <w:numId w:val="6"/>
        </w:numPr>
        <w:spacing w:after="80" w:line="276" w:lineRule="auto"/>
      </w:pPr>
      <w:r w:rsidRPr="003D4E72">
        <w:rPr>
          <w:b/>
          <w:bCs/>
        </w:rPr>
        <w:t xml:space="preserve">Regulatory requirement: </w:t>
      </w:r>
      <w:r>
        <w:t>Where a regulator (ICO, Ofsted, local authority) requires preservation of specific data, retention shall be extended accordingly</w:t>
      </w:r>
    </w:p>
    <w:p w14:paraId="7CC1CACB" w14:textId="77777777" w:rsidR="002E4A5B" w:rsidRDefault="00000000" w:rsidP="003D4E72">
      <w:pPr>
        <w:pStyle w:val="ListParagraph"/>
        <w:numPr>
          <w:ilvl w:val="0"/>
          <w:numId w:val="6"/>
        </w:numPr>
        <w:spacing w:after="80" w:line="276" w:lineRule="auto"/>
      </w:pPr>
      <w:r w:rsidRPr="003D4E72">
        <w:rPr>
          <w:b/>
          <w:bCs/>
        </w:rPr>
        <w:t xml:space="preserve">Safeguarding obligation: </w:t>
      </w:r>
      <w:r>
        <w:t>Where data relates to an ongoing safeguarding investigation or inquiry (including historical abuse investigations), retention may be extended in consultation with the Customer and relevant authorities. Where the Platform is used as the primary safeguarding record, the Processor supports configurable retention periods aligned to the Controller's statutory obligations, including retention until the data subject's 25th birthday where required by KCSIE guidance.</w:t>
      </w:r>
    </w:p>
    <w:p w14:paraId="318DD5BE" w14:textId="77777777" w:rsidR="002E4A5B" w:rsidRDefault="00000000">
      <w:pPr>
        <w:spacing w:after="160" w:line="276" w:lineRule="auto"/>
      </w:pPr>
      <w:r>
        <w:lastRenderedPageBreak/>
        <w:t>Legal holds are documented, reviewed quarterly, and lifted as soon as the basis for preservation ceases.</w:t>
      </w:r>
    </w:p>
    <w:p w14:paraId="294DA793" w14:textId="77777777" w:rsidR="002E4A5B" w:rsidRDefault="00000000">
      <w:pPr>
        <w:pStyle w:val="Heading1"/>
      </w:pPr>
      <w:r>
        <w:t>7. Sub-Processor Retention</w:t>
      </w:r>
    </w:p>
    <w:p w14:paraId="23228C2B" w14:textId="77777777" w:rsidR="002E4A5B" w:rsidRDefault="00000000">
      <w:pPr>
        <w:spacing w:after="160" w:line="276" w:lineRule="auto"/>
      </w:pPr>
      <w:r>
        <w:t>Student Radar’s sub-processors are contractually required to delete or return data on termination of their engagement, in accordance with their respective DPAs. Key sub-processor retention positions: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3400"/>
        <w:gridCol w:w="3826"/>
      </w:tblGrid>
      <w:tr w:rsidR="002E4A5B" w14:paraId="2614E7F3" w14:textId="77777777">
        <w:trPr>
          <w:tblHeader/>
        </w:trPr>
        <w:tc>
          <w:tcPr>
            <w:tcW w:w="1800"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7F681852" w14:textId="77777777" w:rsidR="002E4A5B" w:rsidRDefault="00000000">
            <w:r>
              <w:rPr>
                <w:b/>
                <w:bCs/>
                <w:color w:val="FFFFFF"/>
              </w:rPr>
              <w:t>Sub-Processor</w:t>
            </w:r>
          </w:p>
        </w:tc>
        <w:tc>
          <w:tcPr>
            <w:tcW w:w="3400"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577A05A9" w14:textId="77777777" w:rsidR="002E4A5B" w:rsidRDefault="00000000">
            <w:r>
              <w:rPr>
                <w:b/>
                <w:bCs/>
                <w:color w:val="FFFFFF"/>
              </w:rPr>
              <w:t>Data Held</w:t>
            </w:r>
          </w:p>
        </w:tc>
        <w:tc>
          <w:tcPr>
            <w:tcW w:w="3826" w:type="dxa"/>
            <w:tcBorders>
              <w:top w:val="single" w:sz="1" w:space="0" w:color="CCCCCC"/>
              <w:left w:val="single" w:sz="1" w:space="0" w:color="CCCCCC"/>
              <w:bottom w:val="single" w:sz="1" w:space="0" w:color="CCCCCC"/>
              <w:right w:val="single" w:sz="1" w:space="0" w:color="CCCCCC"/>
            </w:tcBorders>
            <w:shd w:val="clear" w:color="auto" w:fill="4D8F66"/>
            <w:tcMar>
              <w:top w:w="60" w:type="dxa"/>
              <w:left w:w="100" w:type="dxa"/>
              <w:bottom w:w="60" w:type="dxa"/>
              <w:right w:w="100" w:type="dxa"/>
            </w:tcMar>
          </w:tcPr>
          <w:p w14:paraId="7F38189B" w14:textId="77777777" w:rsidR="002E4A5B" w:rsidRDefault="00000000">
            <w:r>
              <w:rPr>
                <w:b/>
                <w:bCs/>
                <w:color w:val="FFFFFF"/>
              </w:rPr>
              <w:t>Retention on Termination</w:t>
            </w:r>
          </w:p>
        </w:tc>
      </w:tr>
      <w:tr w:rsidR="002E4A5B" w14:paraId="584A61B1" w14:textId="77777777">
        <w:tc>
          <w:tcPr>
            <w:tcW w:w="1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B130F80" w14:textId="77777777" w:rsidR="002E4A5B" w:rsidRDefault="00000000">
            <w:proofErr w:type="spellStart"/>
            <w:r>
              <w:rPr>
                <w:color w:val="333333"/>
              </w:rPr>
              <w:t>Supabase</w:t>
            </w:r>
            <w:proofErr w:type="spellEnd"/>
          </w:p>
        </w:tc>
        <w:tc>
          <w:tcPr>
            <w:tcW w:w="3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5465A25" w14:textId="77777777" w:rsidR="002E4A5B" w:rsidRDefault="00000000">
            <w:r>
              <w:rPr>
                <w:color w:val="333333"/>
              </w:rPr>
              <w:t>All Customer Data (database, auth, storage)</w:t>
            </w:r>
          </w:p>
        </w:tc>
        <w:tc>
          <w:tcPr>
            <w:tcW w:w="38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6FD2392" w14:textId="77777777" w:rsidR="002E4A5B" w:rsidRDefault="00000000">
            <w:r>
              <w:rPr>
                <w:color w:val="333333"/>
              </w:rPr>
              <w:t xml:space="preserve">Deleted on account closure; backups purged per </w:t>
            </w:r>
            <w:proofErr w:type="spellStart"/>
            <w:r>
              <w:rPr>
                <w:color w:val="333333"/>
              </w:rPr>
              <w:t>Supabase</w:t>
            </w:r>
            <w:proofErr w:type="spellEnd"/>
            <w:r>
              <w:rPr>
                <w:color w:val="333333"/>
              </w:rPr>
              <w:t xml:space="preserve"> retention policy</w:t>
            </w:r>
          </w:p>
        </w:tc>
      </w:tr>
      <w:tr w:rsidR="002E4A5B" w14:paraId="55D716AF" w14:textId="77777777">
        <w:tc>
          <w:tcPr>
            <w:tcW w:w="1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892B258" w14:textId="77777777" w:rsidR="002E4A5B" w:rsidRDefault="00000000">
            <w:proofErr w:type="spellStart"/>
            <w:r>
              <w:rPr>
                <w:color w:val="333333"/>
              </w:rPr>
              <w:t>Vercel</w:t>
            </w:r>
            <w:proofErr w:type="spellEnd"/>
          </w:p>
        </w:tc>
        <w:tc>
          <w:tcPr>
            <w:tcW w:w="3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ED0BB26" w14:textId="77777777" w:rsidR="002E4A5B" w:rsidRDefault="00000000">
            <w:r>
              <w:rPr>
                <w:color w:val="333333"/>
              </w:rPr>
              <w:t>No persistent Customer Data (serverless functions, edge cache)</w:t>
            </w:r>
          </w:p>
        </w:tc>
        <w:tc>
          <w:tcPr>
            <w:tcW w:w="38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58A89132" w14:textId="77777777" w:rsidR="002E4A5B" w:rsidRDefault="00000000">
            <w:r>
              <w:rPr>
                <w:color w:val="333333"/>
              </w:rPr>
              <w:t>Cache expires automatically; no long-term storage</w:t>
            </w:r>
          </w:p>
        </w:tc>
      </w:tr>
      <w:tr w:rsidR="002E4A5B" w14:paraId="0CC9569A" w14:textId="77777777">
        <w:tc>
          <w:tcPr>
            <w:tcW w:w="1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78E2A84" w14:textId="77777777" w:rsidR="002E4A5B" w:rsidRDefault="00000000">
            <w:r>
              <w:rPr>
                <w:color w:val="333333"/>
              </w:rPr>
              <w:t>Wonde</w:t>
            </w:r>
          </w:p>
        </w:tc>
        <w:tc>
          <w:tcPr>
            <w:tcW w:w="3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401D5DB" w14:textId="77777777" w:rsidR="002E4A5B" w:rsidRDefault="00000000">
            <w:r>
              <w:rPr>
                <w:color w:val="333333"/>
              </w:rPr>
              <w:t>MIS integration tokens and mapping data</w:t>
            </w:r>
          </w:p>
        </w:tc>
        <w:tc>
          <w:tcPr>
            <w:tcW w:w="38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5760C79" w14:textId="77777777" w:rsidR="002E4A5B" w:rsidRDefault="00000000">
            <w:r>
              <w:rPr>
                <w:color w:val="333333"/>
              </w:rPr>
              <w:t>Deleted on disconnection of school integration</w:t>
            </w:r>
          </w:p>
        </w:tc>
      </w:tr>
      <w:tr w:rsidR="002E4A5B" w14:paraId="287A9A58" w14:textId="77777777">
        <w:tc>
          <w:tcPr>
            <w:tcW w:w="1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30C00DA" w14:textId="77777777" w:rsidR="002E4A5B" w:rsidRDefault="00000000">
            <w:r>
              <w:rPr>
                <w:color w:val="333333"/>
              </w:rPr>
              <w:t>Sentry</w:t>
            </w:r>
          </w:p>
        </w:tc>
        <w:tc>
          <w:tcPr>
            <w:tcW w:w="3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E8979CC" w14:textId="77777777" w:rsidR="002E4A5B" w:rsidRDefault="00000000">
            <w:r>
              <w:rPr>
                <w:color w:val="333333"/>
              </w:rPr>
              <w:t>Error traces (no PII)</w:t>
            </w:r>
          </w:p>
        </w:tc>
        <w:tc>
          <w:tcPr>
            <w:tcW w:w="38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B124F58" w14:textId="77777777" w:rsidR="002E4A5B" w:rsidRDefault="00000000">
            <w:r>
              <w:rPr>
                <w:color w:val="333333"/>
              </w:rPr>
              <w:t>90-day automatic expiry</w:t>
            </w:r>
          </w:p>
        </w:tc>
      </w:tr>
      <w:tr w:rsidR="002E4A5B" w14:paraId="0EDCD5E3" w14:textId="77777777">
        <w:tc>
          <w:tcPr>
            <w:tcW w:w="1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27FDE5D" w14:textId="77777777" w:rsidR="002E4A5B" w:rsidRDefault="00000000">
            <w:r>
              <w:rPr>
                <w:color w:val="333333"/>
              </w:rPr>
              <w:t>Resend</w:t>
            </w:r>
          </w:p>
        </w:tc>
        <w:tc>
          <w:tcPr>
            <w:tcW w:w="3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E8258B1" w14:textId="77777777" w:rsidR="002E4A5B" w:rsidRDefault="00000000">
            <w:r>
              <w:rPr>
                <w:color w:val="333333"/>
              </w:rPr>
              <w:t>Email delivery logs</w:t>
            </w:r>
          </w:p>
        </w:tc>
        <w:tc>
          <w:tcPr>
            <w:tcW w:w="38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991865F" w14:textId="77777777" w:rsidR="002E4A5B" w:rsidRDefault="00000000">
            <w:r>
              <w:rPr>
                <w:color w:val="333333"/>
              </w:rPr>
              <w:t>90-day automatic expiry</w:t>
            </w:r>
          </w:p>
        </w:tc>
      </w:tr>
      <w:tr w:rsidR="002E4A5B" w14:paraId="4CD5AE85" w14:textId="77777777">
        <w:tc>
          <w:tcPr>
            <w:tcW w:w="1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906241B" w14:textId="77777777" w:rsidR="002E4A5B" w:rsidRDefault="00000000">
            <w:r>
              <w:rPr>
                <w:color w:val="333333"/>
              </w:rPr>
              <w:t>Twilio</w:t>
            </w:r>
          </w:p>
        </w:tc>
        <w:tc>
          <w:tcPr>
            <w:tcW w:w="3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BA3F3F5" w14:textId="77777777" w:rsidR="002E4A5B" w:rsidRDefault="00000000">
            <w:r>
              <w:rPr>
                <w:color w:val="333333"/>
              </w:rPr>
              <w:t>SMS delivery logs</w:t>
            </w:r>
          </w:p>
        </w:tc>
        <w:tc>
          <w:tcPr>
            <w:tcW w:w="38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BD2B0CF" w14:textId="77777777" w:rsidR="002E4A5B" w:rsidRDefault="00000000">
            <w:r>
              <w:rPr>
                <w:color w:val="333333"/>
              </w:rPr>
              <w:t>90-day automatic expiry</w:t>
            </w:r>
          </w:p>
        </w:tc>
      </w:tr>
      <w:tr w:rsidR="002E4A5B" w14:paraId="7AC23DB7" w14:textId="77777777">
        <w:tc>
          <w:tcPr>
            <w:tcW w:w="18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C94FC6F" w14:textId="77777777" w:rsidR="002E4A5B" w:rsidRDefault="00000000">
            <w:r>
              <w:rPr>
                <w:color w:val="333333"/>
              </w:rPr>
              <w:t>OpenAI</w:t>
            </w:r>
          </w:p>
        </w:tc>
        <w:tc>
          <w:tcPr>
            <w:tcW w:w="3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3AA4F92E" w14:textId="77777777" w:rsidR="002E4A5B" w:rsidRDefault="00000000">
            <w:r>
              <w:rPr>
                <w:color w:val="333333"/>
              </w:rPr>
              <w:t>Tokenised prompts/responses (no raw PII)</w:t>
            </w:r>
          </w:p>
        </w:tc>
        <w:tc>
          <w:tcPr>
            <w:tcW w:w="3826"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5F81ECB" w14:textId="77777777" w:rsidR="002E4A5B" w:rsidRDefault="00000000">
            <w:r>
              <w:rPr>
                <w:color w:val="333333"/>
              </w:rPr>
              <w:t>Not retained by OpenAI under zero-retention API agreement</w:t>
            </w:r>
          </w:p>
        </w:tc>
      </w:tr>
    </w:tbl>
    <w:p w14:paraId="08C68BDF" w14:textId="77777777" w:rsidR="002E4A5B" w:rsidRDefault="002E4A5B">
      <w:pPr>
        <w:spacing w:after="200"/>
      </w:pPr>
    </w:p>
    <w:p w14:paraId="43F09D30" w14:textId="77777777" w:rsidR="002E4A5B" w:rsidRDefault="00000000">
      <w:pPr>
        <w:pStyle w:val="Heading1"/>
      </w:pPr>
      <w:r>
        <w:t>8. Data Subject Rights and Retention</w:t>
      </w:r>
    </w:p>
    <w:p w14:paraId="00CB169A" w14:textId="77777777" w:rsidR="002E4A5B" w:rsidRDefault="00000000">
      <w:pPr>
        <w:spacing w:after="160" w:line="276" w:lineRule="auto"/>
      </w:pPr>
      <w:r>
        <w:t>Where a data subject exercises rights under UK GDPR that affect retention:</w:t>
      </w:r>
    </w:p>
    <w:p w14:paraId="0A2ED576" w14:textId="77777777" w:rsidR="002E4A5B" w:rsidRDefault="00000000" w:rsidP="003D4E72">
      <w:pPr>
        <w:pStyle w:val="ListParagraph"/>
        <w:numPr>
          <w:ilvl w:val="0"/>
          <w:numId w:val="7"/>
        </w:numPr>
        <w:spacing w:after="80" w:line="276" w:lineRule="auto"/>
      </w:pPr>
      <w:r w:rsidRPr="003D4E72">
        <w:rPr>
          <w:b/>
          <w:bCs/>
        </w:rPr>
        <w:t xml:space="preserve">Right to erasure (Article 17): </w:t>
      </w:r>
      <w:r>
        <w:t>The Customer (as Controller) determines whether erasure is appropriate. Student Radar shall action erasure requests received from the Customer within 30 days, subject to any legal hold or statutory retention obligation</w:t>
      </w:r>
    </w:p>
    <w:p w14:paraId="41BFB63B" w14:textId="77777777" w:rsidR="002E4A5B" w:rsidRDefault="00000000" w:rsidP="003D4E72">
      <w:pPr>
        <w:pStyle w:val="ListParagraph"/>
        <w:numPr>
          <w:ilvl w:val="0"/>
          <w:numId w:val="7"/>
        </w:numPr>
        <w:spacing w:after="80" w:line="276" w:lineRule="auto"/>
      </w:pPr>
      <w:r w:rsidRPr="003D4E72">
        <w:rPr>
          <w:b/>
          <w:bCs/>
        </w:rPr>
        <w:t xml:space="preserve">Right to restriction (Article 18): </w:t>
      </w:r>
      <w:r>
        <w:t>Where processing is restricted, data shall be retained but not processed further (except for storage or legal claims) until the restriction is lifted</w:t>
      </w:r>
    </w:p>
    <w:p w14:paraId="72BEDAC5" w14:textId="77777777" w:rsidR="002E4A5B" w:rsidRDefault="00000000" w:rsidP="003D4E72">
      <w:pPr>
        <w:pStyle w:val="ListParagraph"/>
        <w:numPr>
          <w:ilvl w:val="0"/>
          <w:numId w:val="7"/>
        </w:numPr>
        <w:spacing w:after="80" w:line="276" w:lineRule="auto"/>
      </w:pPr>
      <w:r w:rsidRPr="003D4E72">
        <w:rPr>
          <w:b/>
          <w:bCs/>
        </w:rPr>
        <w:t xml:space="preserve">Data portability (Article 20): </w:t>
      </w:r>
      <w:r>
        <w:t>Customer Data is available for export in machine-readable format at any time during the service agreement and during the 30-day post-termination export period</w:t>
      </w:r>
    </w:p>
    <w:p w14:paraId="1EDBBE4A" w14:textId="77777777" w:rsidR="002E4A5B" w:rsidRDefault="00000000">
      <w:pPr>
        <w:spacing w:after="160" w:line="276" w:lineRule="auto"/>
      </w:pPr>
      <w:r>
        <w:t>Data subjects should direct rights requests to their school (the Controller) in the first instance. Student Radar assists the Customer in responding to verified requests in accordance with the DPA.</w:t>
      </w:r>
    </w:p>
    <w:p w14:paraId="6F1FE6FC" w14:textId="77777777" w:rsidR="002E4A5B" w:rsidRDefault="00000000">
      <w:pPr>
        <w:pStyle w:val="Heading1"/>
      </w:pPr>
      <w:r>
        <w:t>9. Monitoring and Enforcement</w:t>
      </w:r>
    </w:p>
    <w:p w14:paraId="35ED440A" w14:textId="77777777" w:rsidR="002E4A5B" w:rsidRDefault="00000000">
      <w:pPr>
        <w:spacing w:after="160" w:line="276" w:lineRule="auto"/>
      </w:pPr>
      <w:r>
        <w:t>Compliance with this Policy is monitored through:</w:t>
      </w:r>
    </w:p>
    <w:p w14:paraId="6A57FC16" w14:textId="77777777" w:rsidR="002E4A5B" w:rsidRDefault="00000000" w:rsidP="003D4E72">
      <w:pPr>
        <w:pStyle w:val="ListParagraph"/>
        <w:numPr>
          <w:ilvl w:val="0"/>
          <w:numId w:val="8"/>
        </w:numPr>
        <w:spacing w:after="80" w:line="276" w:lineRule="auto"/>
      </w:pPr>
      <w:r>
        <w:t>Automated lifecycle policies that enforce deletion on retention expiry</w:t>
      </w:r>
    </w:p>
    <w:p w14:paraId="4C6ECAA2" w14:textId="77777777" w:rsidR="002E4A5B" w:rsidRDefault="00000000" w:rsidP="003D4E72">
      <w:pPr>
        <w:pStyle w:val="ListParagraph"/>
        <w:numPr>
          <w:ilvl w:val="0"/>
          <w:numId w:val="8"/>
        </w:numPr>
        <w:spacing w:after="80" w:line="276" w:lineRule="auto"/>
      </w:pPr>
      <w:r>
        <w:lastRenderedPageBreak/>
        <w:t>Quarterly review of the retention schedule against operational needs and legal requirements</w:t>
      </w:r>
    </w:p>
    <w:p w14:paraId="51607F3E" w14:textId="77777777" w:rsidR="002E4A5B" w:rsidRDefault="00000000" w:rsidP="003D4E72">
      <w:pPr>
        <w:pStyle w:val="ListParagraph"/>
        <w:numPr>
          <w:ilvl w:val="0"/>
          <w:numId w:val="8"/>
        </w:numPr>
        <w:spacing w:after="80" w:line="276" w:lineRule="auto"/>
      </w:pPr>
      <w:r>
        <w:t>Annual audit of data stores to verify that no data is held beyond its defined retention period</w:t>
      </w:r>
    </w:p>
    <w:p w14:paraId="7DFE57EB" w14:textId="77777777" w:rsidR="002E4A5B" w:rsidRDefault="00000000" w:rsidP="003D4E72">
      <w:pPr>
        <w:pStyle w:val="ListParagraph"/>
        <w:numPr>
          <w:ilvl w:val="0"/>
          <w:numId w:val="8"/>
        </w:numPr>
        <w:spacing w:after="80" w:line="276" w:lineRule="auto"/>
      </w:pPr>
      <w:r>
        <w:t>Post-termination checklists to confirm Customer Data deletion</w:t>
      </w:r>
    </w:p>
    <w:p w14:paraId="217FCFE1" w14:textId="77777777" w:rsidR="002E4A5B" w:rsidRDefault="00000000">
      <w:pPr>
        <w:spacing w:after="160" w:line="276" w:lineRule="auto"/>
      </w:pPr>
      <w:r>
        <w:t>Breaches of this Policy are treated as security incidents and handled in accordance with the Incident Response Policy.</w:t>
      </w:r>
    </w:p>
    <w:p w14:paraId="3F56A7CE" w14:textId="77777777" w:rsidR="002E4A5B" w:rsidRDefault="00000000">
      <w:pPr>
        <w:pStyle w:val="Heading1"/>
      </w:pPr>
      <w:r>
        <w:t>10. Policy Review</w:t>
      </w:r>
    </w:p>
    <w:p w14:paraId="7A706518" w14:textId="77777777" w:rsidR="002E4A5B" w:rsidRDefault="00000000">
      <w:pPr>
        <w:spacing w:after="160" w:line="276" w:lineRule="auto"/>
      </w:pPr>
      <w:r>
        <w:t>This Policy is reviewed annually by the Data Protection Lead, or sooner if triggered by:</w:t>
      </w:r>
    </w:p>
    <w:p w14:paraId="44E35310" w14:textId="77777777" w:rsidR="002E4A5B" w:rsidRDefault="00000000" w:rsidP="003D4E72">
      <w:pPr>
        <w:pStyle w:val="ListParagraph"/>
        <w:numPr>
          <w:ilvl w:val="0"/>
          <w:numId w:val="9"/>
        </w:numPr>
        <w:spacing w:after="80" w:line="276" w:lineRule="auto"/>
      </w:pPr>
      <w:r>
        <w:t>Changes to UK data protection law or ICO guidance on retention</w:t>
      </w:r>
    </w:p>
    <w:p w14:paraId="5FF664B4" w14:textId="77777777" w:rsidR="002E4A5B" w:rsidRDefault="00000000" w:rsidP="003D4E72">
      <w:pPr>
        <w:pStyle w:val="ListParagraph"/>
        <w:numPr>
          <w:ilvl w:val="0"/>
          <w:numId w:val="9"/>
        </w:numPr>
        <w:spacing w:after="80" w:line="276" w:lineRule="auto"/>
      </w:pPr>
      <w:r>
        <w:t>Changes to the platform architecture, data categories, or sub-processor arrangements</w:t>
      </w:r>
    </w:p>
    <w:p w14:paraId="0A8229B5" w14:textId="77777777" w:rsidR="002E4A5B" w:rsidRDefault="00000000" w:rsidP="003D4E72">
      <w:pPr>
        <w:pStyle w:val="ListParagraph"/>
        <w:numPr>
          <w:ilvl w:val="0"/>
          <w:numId w:val="9"/>
        </w:numPr>
        <w:spacing w:after="80" w:line="276" w:lineRule="auto"/>
      </w:pPr>
      <w:r>
        <w:t>Findings from audits, incidents, or data subject requests that reveal gaps</w:t>
      </w:r>
    </w:p>
    <w:p w14:paraId="3E86AFD7" w14:textId="77777777" w:rsidR="002E4A5B" w:rsidRDefault="00000000" w:rsidP="003D4E72">
      <w:pPr>
        <w:pStyle w:val="ListParagraph"/>
        <w:numPr>
          <w:ilvl w:val="0"/>
          <w:numId w:val="9"/>
        </w:numPr>
        <w:spacing w:after="80" w:line="276" w:lineRule="auto"/>
      </w:pPr>
      <w:r>
        <w:t>Changes to statutory record-keeping requirements in education</w:t>
      </w:r>
    </w:p>
    <w:p w14:paraId="50148F97" w14:textId="77777777" w:rsidR="002E4A5B" w:rsidRDefault="00000000">
      <w:pPr>
        <w:spacing w:after="160" w:line="276" w:lineRule="auto"/>
      </w:pPr>
      <w:r>
        <w:t>Material changes are communicated to Customers in accordance with the MSA.</w:t>
      </w:r>
    </w:p>
    <w:p w14:paraId="3FD56E72" w14:textId="77777777" w:rsidR="002E4A5B" w:rsidRDefault="00000000">
      <w:pPr>
        <w:pStyle w:val="Heading1"/>
      </w:pPr>
      <w:r>
        <w:t>11. Contact</w:t>
      </w:r>
    </w:p>
    <w:p w14:paraId="79FAD60A" w14:textId="77777777" w:rsidR="002E4A5B" w:rsidRDefault="00000000">
      <w:pPr>
        <w:spacing w:after="160" w:line="276" w:lineRule="auto"/>
      </w:pPr>
      <w:r>
        <w:t>For questions about this Policy or to request a certificate of deletion:</w:t>
      </w:r>
    </w:p>
    <w:p w14:paraId="26F23A8A" w14:textId="77777777" w:rsidR="002E4A5B" w:rsidRDefault="00000000">
      <w:pPr>
        <w:spacing w:after="40" w:line="276" w:lineRule="auto"/>
      </w:pPr>
      <w:r>
        <w:rPr>
          <w:b/>
          <w:bCs/>
        </w:rPr>
        <w:t>Student Radar – Data Protection Lead</w:t>
      </w:r>
    </w:p>
    <w:p w14:paraId="35BC922E" w14:textId="77777777" w:rsidR="002E4A5B" w:rsidRDefault="00000000">
      <w:pPr>
        <w:spacing w:after="160" w:line="276" w:lineRule="auto"/>
      </w:pPr>
      <w:r>
        <w:t>Email: dpo@studentradar.com</w:t>
      </w:r>
    </w:p>
    <w:p w14:paraId="1E40C495" w14:textId="77777777" w:rsidR="002E4A5B" w:rsidRDefault="00000000">
      <w:pPr>
        <w:spacing w:after="160" w:line="276" w:lineRule="auto"/>
      </w:pPr>
      <w:r>
        <w:t>General: support@studentradar.com</w:t>
      </w:r>
    </w:p>
    <w:p w14:paraId="35C241C0" w14:textId="77777777" w:rsidR="002E4A5B" w:rsidRDefault="00000000">
      <w:pPr>
        <w:spacing w:after="160" w:line="276" w:lineRule="auto"/>
      </w:pPr>
      <w:r>
        <w:t>Website: www.studentradar.com</w:t>
      </w:r>
    </w:p>
    <w:p w14:paraId="7861305F" w14:textId="77777777" w:rsidR="002E4A5B" w:rsidRDefault="00000000">
      <w:pPr>
        <w:spacing w:after="160" w:line="276" w:lineRule="auto"/>
      </w:pPr>
      <w:r>
        <w:t xml:space="preserve">Address: </w:t>
      </w:r>
      <w:proofErr w:type="spellStart"/>
      <w:r>
        <w:t>SENDlink</w:t>
      </w:r>
      <w:proofErr w:type="spellEnd"/>
      <w:r>
        <w:t xml:space="preserve"> LTD, 10 Masefield Gardens, Plymouth, PL5 3HU</w:t>
      </w:r>
    </w:p>
    <w:sectPr w:rsidR="002E4A5B">
      <w:headerReference w:type="default" r:id="rId7"/>
      <w:footerReference w:type="default" r:id="rId8"/>
      <w:pgSz w:w="11906" w:h="16838"/>
      <w:pgMar w:top="220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79903" w14:textId="77777777" w:rsidR="001E3183" w:rsidRDefault="001E3183">
      <w:r>
        <w:separator/>
      </w:r>
    </w:p>
  </w:endnote>
  <w:endnote w:type="continuationSeparator" w:id="0">
    <w:p w14:paraId="4F5ED384" w14:textId="77777777" w:rsidR="001E3183" w:rsidRDefault="001E3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880FE" w14:textId="77777777" w:rsidR="002E4A5B" w:rsidRDefault="00000000">
    <w:pPr>
      <w:pBdr>
        <w:top w:val="single" w:sz="1" w:space="8" w:color="CCCCCC"/>
      </w:pBdr>
      <w:spacing w:before="200"/>
      <w:jc w:val="center"/>
    </w:pPr>
    <w:r>
      <w:rPr>
        <w:color w:val="888888"/>
        <w:sz w:val="18"/>
        <w:szCs w:val="18"/>
      </w:rPr>
      <w:t xml:space="preserve">Student Radar – Data Retention </w:t>
    </w:r>
    <w:proofErr w:type="gramStart"/>
    <w:r>
      <w:rPr>
        <w:color w:val="888888"/>
        <w:sz w:val="18"/>
        <w:szCs w:val="18"/>
      </w:rPr>
      <w:t>Policy  |</w:t>
    </w:r>
    <w:proofErr w:type="gramEnd"/>
    <w:r>
      <w:rPr>
        <w:color w:val="888888"/>
        <w:sz w:val="18"/>
        <w:szCs w:val="18"/>
      </w:rPr>
      <w:t xml:space="preserve">  Page </w:t>
    </w:r>
    <w:r>
      <w:rPr>
        <w:color w:val="888888"/>
        <w:sz w:val="18"/>
        <w:szCs w:val="18"/>
      </w:rPr>
      <w:fldChar w:fldCharType="begin"/>
    </w:r>
    <w:r>
      <w:rPr>
        <w:color w:val="888888"/>
        <w:sz w:val="18"/>
        <w:szCs w:val="18"/>
      </w:rPr>
      <w:instrText>PAGE</w:instrText>
    </w:r>
    <w:r>
      <w:rPr>
        <w:color w:val="888888"/>
        <w:sz w:val="18"/>
        <w:szCs w:val="18"/>
      </w:rPr>
      <w:fldChar w:fldCharType="separate"/>
    </w:r>
    <w:r w:rsidR="00A16CF9">
      <w:rPr>
        <w:noProof/>
        <w:color w:val="888888"/>
        <w:sz w:val="18"/>
        <w:szCs w:val="18"/>
      </w:rPr>
      <w:t>1</w:t>
    </w:r>
    <w:r>
      <w:rPr>
        <w:color w:val="888888"/>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A6824" w14:textId="77777777" w:rsidR="001E3183" w:rsidRDefault="001E3183">
      <w:r>
        <w:separator/>
      </w:r>
    </w:p>
  </w:footnote>
  <w:footnote w:type="continuationSeparator" w:id="0">
    <w:p w14:paraId="53DD5F73" w14:textId="77777777" w:rsidR="001E3183" w:rsidRDefault="001E31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BB392" w14:textId="77777777" w:rsidR="00B26803" w:rsidRDefault="00000000">
    <w:r>
      <w:rPr>
        <w:noProof/>
      </w:rPr>
      <mc:AlternateContent>
        <mc:Choice Requires="wps">
          <w:drawing>
            <wp:anchor distT="0" distB="0" distL="114300" distR="114300" simplePos="0" relativeHeight="251660287" behindDoc="0" locked="0" layoutInCell="1" allowOverlap="1" wp14:anchorId="1C61C442" wp14:editId="67DF7839">
              <wp:simplePos x="0" y="0"/>
              <wp:positionH relativeFrom="column">
                <wp:posOffset>116678</wp:posOffset>
              </wp:positionH>
              <wp:positionV relativeFrom="paragraph">
                <wp:posOffset>-438785</wp:posOffset>
              </wp:positionV>
              <wp:extent cx="4944110" cy="446405"/>
              <wp:effectExtent l="0" t="0" r="0" b="0"/>
              <wp:wrapNone/>
              <wp:docPr id="261690491" name="Text Box 5"/>
              <wp:cNvGraphicFramePr/>
              <a:graphic xmlns:a="http://schemas.openxmlformats.org/drawingml/2006/main">
                <a:graphicData uri="http://schemas.microsoft.com/office/word/2010/wordprocessingShape">
                  <wps:wsp>
                    <wps:cNvSpPr txBox="1"/>
                    <wps:spPr>
                      <a:xfrm>
                        <a:off x="0" y="0"/>
                        <a:ext cx="4944110" cy="446405"/>
                      </a:xfrm>
                      <a:prstGeom prst="rect">
                        <a:avLst/>
                      </a:prstGeom>
                      <a:noFill/>
                      <a:ln w="6350">
                        <a:noFill/>
                      </a:ln>
                    </wps:spPr>
                    <wps:txbx>
                      <w:txbxContent>
                        <w:p w14:paraId="1F3B043D" w14:textId="77777777" w:rsidR="00B26803" w:rsidRPr="00080167" w:rsidRDefault="00000000">
                          <w:pPr>
                            <w:rPr>
                              <w:b/>
                              <w:bCs/>
                              <w:color w:val="FFFFFF" w:themeColor="background1"/>
                              <w:sz w:val="44"/>
                              <w:szCs w:val="44"/>
                            </w:rPr>
                          </w:pPr>
                          <w:r w:rsidRPr="00080167">
                            <w:rPr>
                              <w:b/>
                              <w:bCs/>
                              <w:color w:val="FFFFFF" w:themeColor="background1"/>
                              <w:sz w:val="44"/>
                              <w:szCs w:val="44"/>
                            </w:rPr>
                            <w:t>Student Radar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C61C442" id="_x0000_t202" coordsize="21600,21600" o:spt="202" path="m,l,21600r21600,l21600,xe">
              <v:stroke joinstyle="miter"/>
              <v:path gradientshapeok="t" o:connecttype="rect"/>
            </v:shapetype>
            <v:shape id="Text Box 5" o:spid="_x0000_s1026" type="#_x0000_t202" style="position:absolute;margin-left:9.2pt;margin-top:-34.55pt;width:389.3pt;height:35.15pt;z-index:25166028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6fPaFgIAACwEAAAOAAAAZHJzL2Uyb0RvYy54bWysU8tu2zAQvBfoPxC815Jc2U0Ey4GbwEWB IAngFDnTFGkJoLgsSVtyv75LSn4g7anohdrlrvYxM1zc9a0iB2FdA7qk2SSlRGgOVaN3Jf3xuv50 Q4nzTFdMgRYlPQpH75YfPyw6U4gp1KAqYQkW0a7oTElr702RJI7XomVuAkZoDEqwLfPo2l1SWdZh 9VYl0zSdJx3Yyljgwjm8fRiCdBnrSym4f5bSCU9USXE2H08bz204k+WCFTvLTN3wcQz2D1O0rNHY 9FzqgXlG9rb5o1TbcAsOpJ9waBOQsuEi7oDbZOm7bTY1MyLuguA4c4bJ/b+y/OmwMS+W+P4r9Ehg AKQzrnB4GfbppW3DFyclGEcIj2fYRO8Jx8v8Ns+zDEMcY3k+z9NZKJNc/jbW+W8CWhKMklqkJaLF Do/OD6mnlNBMw7pRKlKjNOlKOv88S+MP5wgWVxp7XGYNlu+3/bjAFqoj7mVhoNwZvm6w+SNz/oVZ 5BjnRd36ZzykAmwCo0VJDfbX3+5DPkKPUUo61ExJ3c89s4IS9V0jKbdZngeRRSeffZmiY68j2+uI 3rf3gLLM8IUYHs2Q79XJlBbaN5T3KnTFENMce5fUn8x7PygZnwcXq1VMQlkZ5h/1xvBQOsAZoH3t 35g1I/4emXuCk7pY8Y6GIXcgYrX3IJvIUQB4QHXEHSUZWR6fT9D8tR+zLo98+RsAAP//AwBQSwME FAAGAAgAAAAhAHBZtoHjAAAADQEAAA8AAABkcnMvZG93bnJldi54bWxMT01PwkAQvZv4HzZj4g22 NAqldEtIDTExcgC5eJt2h7axu1u7C1R/veNJL5O8vI95L1uPphMXGnzrrILZNAJBtnK6tbWC49t2 koDwAa3GzllS8EUe1vntTYapdle7p8sh1IJDrE9RQRNCn0rpq4YM+qnryTJ3coPBwHCopR7wyuGm k3EUzaXB1vKHBnsqGqo+Dmej4KXY7nBfxib57orn19Om/zy+Pyp1fzc+rfhsViACjeHPAb8buD/k XKx0Z6u96BgnD6xUMJkvZyBYsFgueGHJTAwyz+T/FfkPAAAA//8DAFBLAQItABQABgAIAAAAIQC2 gziS/gAAAOEBAAATAAAAAAAAAAAAAAAAAAAAAABbQ29udGVudF9UeXBlc10ueG1sUEsBAi0AFAAG AAgAAAAhADj9If/WAAAAlAEAAAsAAAAAAAAAAAAAAAAALwEAAF9yZWxzLy5yZWxzUEsBAi0AFAAG AAgAAAAhAJ7p89oWAgAALAQAAA4AAAAAAAAAAAAAAAAALgIAAGRycy9lMm9Eb2MueG1sUEsBAi0A FAAGAAgAAAAhAHBZtoHjAAAADQEAAA8AAAAAAAAAAAAAAAAAcAQAAGRycy9kb3ducmV2LnhtbFBL BQYAAAAABAAEAPMAAACABQAAAAA= " filled="f" stroked="f" strokeweight=".5pt">
              <v:textbox>
                <w:txbxContent>
                  <w:p w14:paraId="1FF9FA37" w14:textId="14F9724C" w:rsidR="00080167" w:rsidRPr="00080167" w:rsidRDefault="00080167">
                    <w:pPr>
                      <w:rPr>
                        <w:rFonts w:ascii="Helvetica" w:hAnsi="Helvetica"/>
                        <w:b/>
                        <w:bCs/>
                        <w:color w:val="FFFFFF" w:themeColor="background1"/>
                        <w:sz w:val="44"/>
                        <w:szCs w:val="44"/>
                      </w:rPr>
                    </w:pPr>
                    <w:r w:rsidRPr="00080167">
                      <w:rPr>
                        <w:rFonts w:ascii="Helvetica" w:hAnsi="Helvetica"/>
                        <w:b/>
                        <w:bCs/>
                        <w:color w:val="FFFFFF" w:themeColor="background1"/>
                        <w:sz w:val="44"/>
                        <w:szCs w:val="44"/>
                      </w:rPr>
                      <w:t>Student Radar</w:t>
                    </w:r>
                  </w:p>
                </w:txbxContent>
              </v:textbox>
            </v:shape>
          </w:pict>
        </mc:Fallback>
      </mc:AlternateContent>
    </w:r>
    <w:r>
      <w:rPr>
        <w:noProof/>
      </w:rPr>
      <mc:AlternateContent>
        <mc:Choice Requires="wps">
          <w:drawing>
            <wp:anchor distT="0" distB="0" distL="114300" distR="114300" simplePos="0" relativeHeight="251662335" behindDoc="0" locked="0" layoutInCell="1" allowOverlap="1" wp14:anchorId="0EC1EDF5" wp14:editId="416A08C3">
              <wp:simplePos x="0" y="0"/>
              <wp:positionH relativeFrom="column">
                <wp:posOffset>106045</wp:posOffset>
              </wp:positionH>
              <wp:positionV relativeFrom="paragraph">
                <wp:posOffset>-120488</wp:posOffset>
              </wp:positionV>
              <wp:extent cx="6527401" cy="659057"/>
              <wp:effectExtent l="0" t="0" r="0" b="0"/>
              <wp:wrapNone/>
              <wp:docPr id="673834606" name="Text Box 5"/>
              <wp:cNvGraphicFramePr/>
              <a:graphic xmlns:a="http://schemas.openxmlformats.org/drawingml/2006/main">
                <a:graphicData uri="http://schemas.microsoft.com/office/word/2010/wordprocessingShape">
                  <wps:wsp>
                    <wps:cNvSpPr txBox="1"/>
                    <wps:spPr>
                      <a:xfrm>
                        <a:off x="0" y="0"/>
                        <a:ext cx="6527401" cy="659057"/>
                      </a:xfrm>
                      <a:prstGeom prst="rect">
                        <a:avLst/>
                      </a:prstGeom>
                      <a:noFill/>
                      <a:ln w="6350">
                        <a:noFill/>
                      </a:ln>
                    </wps:spPr>
                    <wps:txbx>
                      <w:txbxContent>
                        <w:p w14:paraId="42FDC140" w14:textId="77777777" w:rsidR="00B26803" w:rsidRPr="00080167" w:rsidRDefault="00000000" w:rsidP="00080167">
                          <w:pPr>
                            <w:rPr>
                              <w:b/>
                              <w:bCs/>
                              <w:color w:val="FFFFFF" w:themeColor="background1"/>
                              <w:sz w:val="56"/>
                              <w:szCs w:val="56"/>
                            </w:rPr>
                          </w:pPr>
                          <w:r w:rsidRPr="00080167">
                            <w:rPr>
                              <w:b/>
                              <w:bCs/>
                              <w:color w:val="FFFFFF" w:themeColor="background1"/>
                              <w:sz w:val="56"/>
                              <w:szCs w:val="56"/>
                            </w:rPr>
                            <w:t>Data Retention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C1EDF5" id="_x0000_s1027" type="#_x0000_t202" style="position:absolute;margin-left:8.35pt;margin-top:-9.5pt;width:513.95pt;height:51.9pt;z-index:251662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mBvgGAIAADMEAAAOAAAAZHJzL2Uyb0RvYy54bWysU01v2zAMvQ/YfxB0X+xk+ViNOEXWIsOA oC2QDj0rshQLkEVNUmJnv36UnC90Ow270JRIP5LvUfP7rtHkIJxXYEo6HOSUCMOhUmZX0h+vq09f KPGBmYppMKKkR+Hp/eLjh3lrCzGCGnQlHEEQ44vWlrQOwRZZ5nktGuYHYIXBoATXsIBHt8sqx1pE b3Q2yvNp1oKrrAMuvMfbxz5IFwlfSsHDs5ReBKJLir2FZF2y22izxZwVO8dsrfipDfYPXTRMGSx6 gXpkgZG9U39ANYo78CDDgEOTgZSKizQDTjPM302zqZkVaRYkx9sLTf7/wfKnw8a+OBK6r9ChgJGQ 1vrC42Wcp5OuiV/slGAcKTxeaBNdIBwvp5PRbJwPKeEYm07u8skswmTXv63z4ZuAhkSnpA5lSWyx w9qHPvWcEosZWCmtkzTakBZBP0/y9MMlguDaYI1rr9EL3bYjqrqZYwvVEcdz0CvvLV8p7GHNfHhh DqXGiXB9wzMaqQFrwcmjpAb362/3MR8VwCglLa5OSf3PPXOCEv3doDZ3w/E47lo6jCezER7cbWR7 GzH75gFwO5E/7C65MT/osysdNG+45ctYFUPMcKxd0nB2H0K/0PhKuFguUxJul2VhbTaWR+jIamT4 tXtjzp5kCCjgE5yXjBXv1Ohzez2W+wBSJakizz2rJ/pxM5PYp1cUV//2nLKub33xGwAA//8DAFBL AwQUAAYACAAAACEAElfYHuYAAAAPAQAADwAAAGRycy9kb3ducmV2LnhtbEyPT0/CQBDF7yZ+h82Y eIMtpNZSuiWkhpgYOYBcvE27S9uwf2p3geqndzjpZZKXefPm/fLVaDS7qMF3zgqYTSNgytZOdrYR cPjYTFJgPqCVqJ1VAr6Vh1Vxf5djJt3V7tRlHxpGIdZnKKANoc8493WrDPqp65Wl3dENBgPJoeFy wCuFG83nUZRwg52lDy32qmxVfdqfjYC3crPFXTU36Y8uX9+P6/7r8PkkxOPD+LKksV4CC2oMfxdw Y6D+UFCxyp2t9EyTTp7JKWAyWxDYzRDFcQKsEpDGKfAi5/85il8AAAD//wMAUEsBAi0AFAAGAAgA AAAhALaDOJL+AAAA4QEAABMAAAAAAAAAAAAAAAAAAAAAAFtDb250ZW50X1R5cGVzXS54bWxQSwEC LQAUAAYACAAAACEAOP0h/9YAAACUAQAACwAAAAAAAAAAAAAAAAAvAQAAX3JlbHMvLnJlbHNQSwEC LQAUAAYACAAAACEAtpgb4BgCAAAzBAAADgAAAAAAAAAAAAAAAAAuAgAAZHJzL2Uyb0RvYy54bWxQ SwECLQAUAAYACAAAACEAElfYHuYAAAAPAQAADwAAAAAAAAAAAAAAAAByBAAAZHJzL2Rvd25yZXYu eG1sUEsFBgAAAAAEAAQA8wAAAIUFAAAAAA== " filled="f" stroked="f" strokeweight=".5pt">
              <v:textbox>
                <w:txbxContent>
                  <w:p w14:paraId="708F03B4" w14:textId="3FC24C8F" w:rsidR="00080167" w:rsidRPr="00080167" w:rsidRDefault="00080167" w:rsidP="00080167">
                    <w:pPr>
                      <w:rPr>
                        <w:rFonts w:ascii="Helvetica" w:hAnsi="Helvetica"/>
                        <w:b/>
                        <w:bCs/>
                        <w:color w:val="FFFFFF" w:themeColor="background1"/>
                        <w:sz w:val="56"/>
                        <w:szCs w:val="56"/>
                      </w:rPr>
                    </w:pPr>
                    <w:r w:rsidRPr="00080167">
                      <w:rPr>
                        <w:rFonts w:ascii="Helvetica" w:hAnsi="Helvetica"/>
                        <w:b/>
                        <w:bCs/>
                        <w:color w:val="FFFFFF" w:themeColor="background1"/>
                        <w:sz w:val="56"/>
                        <w:szCs w:val="56"/>
                      </w:rPr>
                      <w:t>Data Retention Policy</w:t>
                    </w:r>
                  </w:p>
                </w:txbxContent>
              </v:textbox>
            </v:shape>
          </w:pict>
        </mc:Fallback>
      </mc:AlternateContent>
    </w:r>
    <w:r>
      <w:rPr>
        <w:noProof/>
      </w:rPr>
      <w:drawing>
        <wp:anchor distT="0" distB="0" distL="114300" distR="114300" simplePos="0" relativeHeight="251659263" behindDoc="0" locked="0" layoutInCell="1" allowOverlap="1" wp14:anchorId="6C1E03F1" wp14:editId="6C27C6FC">
          <wp:simplePos x="0" y="0"/>
          <wp:positionH relativeFrom="column">
            <wp:posOffset>-850427</wp:posOffset>
          </wp:positionH>
          <wp:positionV relativeFrom="paragraph">
            <wp:posOffset>-469900</wp:posOffset>
          </wp:positionV>
          <wp:extent cx="956310" cy="956310"/>
          <wp:effectExtent l="0" t="0" r="0" b="0"/>
          <wp:wrapSquare wrapText="bothSides"/>
          <wp:docPr id="1064856905" name="Picture 3" descr="A green circle with black letters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856905" name="Picture 3" descr="A green circle with black letters  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56310" cy="95631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750" behindDoc="0" locked="0" layoutInCell="1" allowOverlap="1" wp14:anchorId="6668C484" wp14:editId="08359836">
              <wp:simplePos x="0" y="0"/>
              <wp:positionH relativeFrom="column">
                <wp:posOffset>-732155</wp:posOffset>
              </wp:positionH>
              <wp:positionV relativeFrom="paragraph">
                <wp:posOffset>-363693</wp:posOffset>
              </wp:positionV>
              <wp:extent cx="712381" cy="712381"/>
              <wp:effectExtent l="0" t="0" r="0" b="0"/>
              <wp:wrapNone/>
              <wp:docPr id="758456839" name="Oval 4"/>
              <wp:cNvGraphicFramePr/>
              <a:graphic xmlns:a="http://schemas.openxmlformats.org/drawingml/2006/main">
                <a:graphicData uri="http://schemas.microsoft.com/office/word/2010/wordprocessingShape">
                  <wps:wsp>
                    <wps:cNvSpPr/>
                    <wps:spPr>
                      <a:xfrm>
                        <a:off x="0" y="0"/>
                        <a:ext cx="712381" cy="712381"/>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16ED9D" id="Oval 4" o:spid="_x0000_s1026" style="position:absolute;margin-left:-57.65pt;margin-top:-28.65pt;width:56.1pt;height:56.1pt;z-index:2516587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Du6wegIAAGAFAAAOAAAAZHJzL2Uyb0RvYy54bWysVE1v2zAMvQ/YfxB0X21n7doFdYqgRYcB RRusHXpWZCkWIIuapMTJfv0oyXa6tdhh2EUmRfLxw4+6vNp3muyE8wpMTauTkhJhODTKbGr6/en2 wwUlPjDTMA1G1PQgPL1avH932du5mEELuhGOIIjx897WtA3BzovC81Z0zJ+AFQaNElzHAqpuUzSO 9Yje6WJWlp+KHlxjHXDhPd7eZCNdJHwpBQ8PUnoRiK4p1hbS6dK5jmexuGTzjWO2VXwog/1DFR1T BpNOUDcsMLJ16hVUp7gDDzKccOgKkFJxkXrAbqryj24eW2ZF6gWH4+00Jv//YPn97tGuHI6ht37u UYxd7KXr4hfrI/s0rMM0LLEPhOPleTX7eFFRwtE0yIhSHIOt8+GLgI5EoaZCa2V9bIfN2e7Oh+w9 esVrD1o1t0rrpEQKiGvtyI7hz1tvqvizEP83L22ir4EYlc3xpjg2k6Rw0CL6afNNSKIaLH+WCkk8 OyZhnAsTqmxqWSNy7uqsLBNVYvaxrFRLAozIEvNP2APA6JlBRuxc5eAfQ0Wi6RRc/q2wHDxFpMxg whTcKQPuLQCNXQ2Zs/84pDyaOKU1NIeVIw7yknjLbxX+uTvmw4o53ArcH9z08ICH1NDXFAaJkhbc z7fuoz+SFa2U9LhlNfU/tswJSvRXgzT+XJ2exrVMyunZ+QwV99Kyfmkx2+4akAvIOqwuidE/6FGU DrpnfBCWMSuamOGYu6Y8uFG5Dnn78UnhYrlMbriKloU782h5BI9TjbR82j8zZwf6BuT9PYwb+YrC 2TdGGlhuA0iV+H2c6zBvXONEnOHJie/ESz15HR/GxS8AAAD//wMAUEsDBBQABgAIAAAAIQCBRWjI 5AAAAA8BAAAPAAAAZHJzL2Rvd25yZXYueG1sTE9NS8NAEL0L/odlBG/pJq1pa5pNEYsKKkJrxes2 OybB7GzIbtPor3c86WV4w7x5H/l6tK0YsPeNIwXJJAaBVDrTUKVg/3oXLUH4oMno1hEq+EIP6+L8 LNeZcSfa4rALlWAR8plWUIfQZVL6skar/cR1SHz7cL3Vgde+kqbXJxa3rZzG8Vxa3RA71LrD2xrL z93Rssnbw7JcPD9tpi8D9ff77/n2HR+VurwYNyseNysQAcfw9wG/HTg/FBzs4I5kvGgVREmSzpjL KF0wYEo0S0AcFKRX1yCLXP7vUfwAAAD//wMAUEsBAi0AFAAGAAgAAAAhALaDOJL+AAAA4QEAABMA AAAAAAAAAAAAAAAAAAAAAFtDb250ZW50X1R5cGVzXS54bWxQSwECLQAUAAYACAAAACEAOP0h/9YA AACUAQAACwAAAAAAAAAAAAAAAAAvAQAAX3JlbHMvLnJlbHNQSwECLQAUAAYACAAAACEAVw7usHoC AABgBQAADgAAAAAAAAAAAAAAAAAuAgAAZHJzL2Uyb0RvYy54bWxQSwECLQAUAAYACAAAACEAgUVo yOQAAAAPAQAADwAAAAAAAAAAAAAAAADUBAAAZHJzL2Rvd25yZXYueG1sUEsFBgAAAAAEAAQA8wAA AOUFAAAAAA== " fillcolor="white [3212]" stroked="f" strokeweight="1.5pt">
              <v:stroke joinstyle="miter"/>
            </v:oval>
          </w:pict>
        </mc:Fallback>
      </mc:AlternateContent>
    </w:r>
    <w:r>
      <w:rPr>
        <w:noProof/>
      </w:rPr>
      <mc:AlternateContent>
        <mc:Choice Requires="wps">
          <w:drawing>
            <wp:anchor distT="0" distB="0" distL="114300" distR="114300" simplePos="0" relativeHeight="251658239" behindDoc="0" locked="0" layoutInCell="1" allowOverlap="1" wp14:anchorId="62467413" wp14:editId="66147551">
              <wp:simplePos x="0" y="0"/>
              <wp:positionH relativeFrom="column">
                <wp:posOffset>-1029291</wp:posOffset>
              </wp:positionH>
              <wp:positionV relativeFrom="paragraph">
                <wp:posOffset>-533209</wp:posOffset>
              </wp:positionV>
              <wp:extent cx="7665498" cy="997393"/>
              <wp:effectExtent l="0" t="0" r="5715" b="6350"/>
              <wp:wrapNone/>
              <wp:docPr id="57831088" name="Rectangle 1"/>
              <wp:cNvGraphicFramePr/>
              <a:graphic xmlns:a="http://schemas.openxmlformats.org/drawingml/2006/main">
                <a:graphicData uri="http://schemas.microsoft.com/office/word/2010/wordprocessingShape">
                  <wps:wsp>
                    <wps:cNvSpPr/>
                    <wps:spPr>
                      <a:xfrm>
                        <a:off x="0" y="0"/>
                        <a:ext cx="7665498" cy="997393"/>
                      </a:xfrm>
                      <a:prstGeom prst="rect">
                        <a:avLst/>
                      </a:prstGeom>
                      <a:solidFill>
                        <a:srgbClr val="68B48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3843F1" id="Rectangle 1" o:spid="_x0000_s1026" style="position:absolute;margin-left:-81.05pt;margin-top:-42pt;width:603.6pt;height:78.5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RfffgAIAAF8FAAAOAAAAZHJzL2Uyb0RvYy54bWysVMFu2zAMvQ/YPwi6r3bSNG2COkXWosOA Yi3WDj0rshQbkEWNUuJkXz9KdpyuLXYYdpElkXwknx91ebVrDNsq9DXYgo9Ocs6UlVDWdl3wH0+3 ny4480HYUhiwquB75fnV4uOHy9bN1RgqMKVCRiDWz1tX8CoEN88yLyvVCH8CTlkyasBGBDriOitR tITemGyc59OsBSwdglTe0+1NZ+SLhK+1kuFea68CMwWn2kJaMa2ruGaLSzFfo3BVLfsyxD9U0Yja UtIB6kYEwTZYv4FqaongQYcTCU0GWtdSpR6om1H+qpvHSjiVeiFyvBto8v8PVn7bProHJBpa5+ee trGLncYmfqk+tktk7Qey1C4wSZfn0+nZZEa/V5JtNjs/nZ1GNrNjtEMfvihoWNwUHOlnJI7E9s6H zvXgEpN5MHV5WxuTDrheXRtkW0E/bnrxeXIx6dH/cDM2OluIYR1ivMmOvaRd2BsV/Yz9rjSrS6p+ nCpJMlNDHiGlsmHUmSpRqi796CzPk1KotyEidZoAI7Km/AN2DxAl/Ba7q7L3j6EqqXQIzv9WWBc8 RKTMYMMQ3NQW8D0AQ131mTv/A0kdNZGlFZT7B2QI3Yx4J29r+m93wocHgTQUND406OGeFm2gLTj0 O84qwF/v3Ud/0ipZOWtpyAruf24EKs7MV0sqno0mkziV6TA5Ox/TAV9aVi8tdtNcA8lhRE+Kk2kb /YM5bDVC80zvwTJmJZOwknIXXAY8HK5DN/z0oki1XCY3mkQnwp19dDKCR1ajLp92zwJdL95Asv8G h4EU81ca7nxjpIXlJoCuk8CPvPZ80xQn4fQvTnwmXp6T1/FdXPwGAAD//wMAUEsDBBQABgAIAAAA IQAHSe2Z4wAAABEBAAAPAAAAZHJzL2Rvd25yZXYueG1sTE9Lb8IwDL5P2n+IPGk3SEuhg9IUTUNo 2hGYNHELjddWNE7XBCj/fua0XSw/Pn+PfDXYVlyw940jBfE4AoFUOtNQpeBzvxnNQfigyejWESq4 oYdV8fiQ68y4K23xsguVYBLymVZQh9BlUvqyRqv92HVIfPt2vdWBx76SptdXJretnERRKq1uiBVq 3eFbjeVpd7YKDmu7P91+0gWa5GMzS96l/0qlUs9Pw3rJ5XUJIuAQ/j7gnoH9Q8HGju5MxotWwShO JzFjuZtPOdodEk1nvDoqeElikEUu/ycpfgEAAP//AwBQSwECLQAUAAYACAAAACEAtoM4kv4AAADh AQAAEwAAAAAAAAAAAAAAAAAAAAAAW0NvbnRlbnRfVHlwZXNdLnhtbFBLAQItABQABgAIAAAAIQA4 /SH/1gAAAJQBAAALAAAAAAAAAAAAAAAAAC8BAABfcmVscy8ucmVsc1BLAQItABQABgAIAAAAIQDW RfffgAIAAF8FAAAOAAAAAAAAAAAAAAAAAC4CAABkcnMvZTJvRG9jLnhtbFBLAQItABQABgAIAAAA IQAHSe2Z4wAAABEBAAAPAAAAAAAAAAAAAAAAANoEAABkcnMvZG93bnJldi54bWxQSwUGAAAAAAQA BADzAAAA6gUAAAAA " fillcolor="#68b484" strok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255B1"/>
    <w:multiLevelType w:val="hybridMultilevel"/>
    <w:tmpl w:val="80E07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DC41E1"/>
    <w:multiLevelType w:val="hybridMultilevel"/>
    <w:tmpl w:val="2848C7DE"/>
    <w:lvl w:ilvl="0" w:tplc="0E345E44">
      <w:start w:val="1"/>
      <w:numFmt w:val="bullet"/>
      <w:lvlText w:val="•"/>
      <w:lvlJc w:val="left"/>
      <w:pPr>
        <w:ind w:left="720" w:hanging="360"/>
      </w:pPr>
    </w:lvl>
    <w:lvl w:ilvl="1" w:tplc="C6A4F58C">
      <w:numFmt w:val="decimal"/>
      <w:lvlText w:val=""/>
      <w:lvlJc w:val="left"/>
    </w:lvl>
    <w:lvl w:ilvl="2" w:tplc="82B85A56">
      <w:numFmt w:val="decimal"/>
      <w:lvlText w:val=""/>
      <w:lvlJc w:val="left"/>
    </w:lvl>
    <w:lvl w:ilvl="3" w:tplc="24345886">
      <w:numFmt w:val="decimal"/>
      <w:lvlText w:val=""/>
      <w:lvlJc w:val="left"/>
    </w:lvl>
    <w:lvl w:ilvl="4" w:tplc="68FAD4D0">
      <w:numFmt w:val="decimal"/>
      <w:lvlText w:val=""/>
      <w:lvlJc w:val="left"/>
    </w:lvl>
    <w:lvl w:ilvl="5" w:tplc="E74617CA">
      <w:numFmt w:val="decimal"/>
      <w:lvlText w:val=""/>
      <w:lvlJc w:val="left"/>
    </w:lvl>
    <w:lvl w:ilvl="6" w:tplc="230830B8">
      <w:numFmt w:val="decimal"/>
      <w:lvlText w:val=""/>
      <w:lvlJc w:val="left"/>
    </w:lvl>
    <w:lvl w:ilvl="7" w:tplc="80A81A6C">
      <w:numFmt w:val="decimal"/>
      <w:lvlText w:val=""/>
      <w:lvlJc w:val="left"/>
    </w:lvl>
    <w:lvl w:ilvl="8" w:tplc="E74ABF00">
      <w:numFmt w:val="decimal"/>
      <w:lvlText w:val=""/>
      <w:lvlJc w:val="left"/>
    </w:lvl>
  </w:abstractNum>
  <w:abstractNum w:abstractNumId="2" w15:restartNumberingAfterBreak="0">
    <w:nsid w:val="231E6AD4"/>
    <w:multiLevelType w:val="hybridMultilevel"/>
    <w:tmpl w:val="23721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3177DF"/>
    <w:multiLevelType w:val="hybridMultilevel"/>
    <w:tmpl w:val="EC308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144B9A"/>
    <w:multiLevelType w:val="hybridMultilevel"/>
    <w:tmpl w:val="28C09B40"/>
    <w:lvl w:ilvl="0" w:tplc="63E259A8">
      <w:start w:val="1"/>
      <w:numFmt w:val="decimal"/>
      <w:lvlText w:val="%1."/>
      <w:lvlJc w:val="left"/>
      <w:pPr>
        <w:ind w:left="720" w:hanging="360"/>
      </w:pPr>
    </w:lvl>
    <w:lvl w:ilvl="1" w:tplc="0F3240EA">
      <w:numFmt w:val="decimal"/>
      <w:lvlText w:val=""/>
      <w:lvlJc w:val="left"/>
    </w:lvl>
    <w:lvl w:ilvl="2" w:tplc="C404840E">
      <w:numFmt w:val="decimal"/>
      <w:lvlText w:val=""/>
      <w:lvlJc w:val="left"/>
    </w:lvl>
    <w:lvl w:ilvl="3" w:tplc="855EC998">
      <w:numFmt w:val="decimal"/>
      <w:lvlText w:val=""/>
      <w:lvlJc w:val="left"/>
    </w:lvl>
    <w:lvl w:ilvl="4" w:tplc="723E21EA">
      <w:numFmt w:val="decimal"/>
      <w:lvlText w:val=""/>
      <w:lvlJc w:val="left"/>
    </w:lvl>
    <w:lvl w:ilvl="5" w:tplc="581200DC">
      <w:numFmt w:val="decimal"/>
      <w:lvlText w:val=""/>
      <w:lvlJc w:val="left"/>
    </w:lvl>
    <w:lvl w:ilvl="6" w:tplc="3EE68850">
      <w:numFmt w:val="decimal"/>
      <w:lvlText w:val=""/>
      <w:lvlJc w:val="left"/>
    </w:lvl>
    <w:lvl w:ilvl="7" w:tplc="C602DECE">
      <w:numFmt w:val="decimal"/>
      <w:lvlText w:val=""/>
      <w:lvlJc w:val="left"/>
    </w:lvl>
    <w:lvl w:ilvl="8" w:tplc="48566578">
      <w:numFmt w:val="decimal"/>
      <w:lvlText w:val=""/>
      <w:lvlJc w:val="left"/>
    </w:lvl>
  </w:abstractNum>
  <w:abstractNum w:abstractNumId="5" w15:restartNumberingAfterBreak="0">
    <w:nsid w:val="516C6297"/>
    <w:multiLevelType w:val="hybridMultilevel"/>
    <w:tmpl w:val="01545DC8"/>
    <w:lvl w:ilvl="0" w:tplc="536602A4">
      <w:start w:val="1"/>
      <w:numFmt w:val="bullet"/>
      <w:lvlText w:val="●"/>
      <w:lvlJc w:val="left"/>
      <w:pPr>
        <w:ind w:left="720" w:hanging="360"/>
      </w:pPr>
    </w:lvl>
    <w:lvl w:ilvl="1" w:tplc="C8E44ECE">
      <w:start w:val="1"/>
      <w:numFmt w:val="bullet"/>
      <w:lvlText w:val="○"/>
      <w:lvlJc w:val="left"/>
      <w:pPr>
        <w:ind w:left="1440" w:hanging="360"/>
      </w:pPr>
    </w:lvl>
    <w:lvl w:ilvl="2" w:tplc="92229E5E">
      <w:start w:val="1"/>
      <w:numFmt w:val="bullet"/>
      <w:lvlText w:val="■"/>
      <w:lvlJc w:val="left"/>
      <w:pPr>
        <w:ind w:left="2160" w:hanging="360"/>
      </w:pPr>
    </w:lvl>
    <w:lvl w:ilvl="3" w:tplc="198E9AE2">
      <w:start w:val="1"/>
      <w:numFmt w:val="bullet"/>
      <w:lvlText w:val="●"/>
      <w:lvlJc w:val="left"/>
      <w:pPr>
        <w:ind w:left="2880" w:hanging="360"/>
      </w:pPr>
    </w:lvl>
    <w:lvl w:ilvl="4" w:tplc="506A6BAE">
      <w:start w:val="1"/>
      <w:numFmt w:val="bullet"/>
      <w:lvlText w:val="○"/>
      <w:lvlJc w:val="left"/>
      <w:pPr>
        <w:ind w:left="3600" w:hanging="360"/>
      </w:pPr>
    </w:lvl>
    <w:lvl w:ilvl="5" w:tplc="74FE8E48">
      <w:start w:val="1"/>
      <w:numFmt w:val="bullet"/>
      <w:lvlText w:val="■"/>
      <w:lvlJc w:val="left"/>
      <w:pPr>
        <w:ind w:left="4320" w:hanging="360"/>
      </w:pPr>
    </w:lvl>
    <w:lvl w:ilvl="6" w:tplc="E5BCEBA6">
      <w:start w:val="1"/>
      <w:numFmt w:val="bullet"/>
      <w:lvlText w:val="●"/>
      <w:lvlJc w:val="left"/>
      <w:pPr>
        <w:ind w:left="5040" w:hanging="360"/>
      </w:pPr>
    </w:lvl>
    <w:lvl w:ilvl="7" w:tplc="F7FC2E0E">
      <w:start w:val="1"/>
      <w:numFmt w:val="bullet"/>
      <w:lvlText w:val="●"/>
      <w:lvlJc w:val="left"/>
      <w:pPr>
        <w:ind w:left="5760" w:hanging="360"/>
      </w:pPr>
    </w:lvl>
    <w:lvl w:ilvl="8" w:tplc="461C1E0A">
      <w:start w:val="1"/>
      <w:numFmt w:val="bullet"/>
      <w:lvlText w:val="●"/>
      <w:lvlJc w:val="left"/>
      <w:pPr>
        <w:ind w:left="6480" w:hanging="360"/>
      </w:pPr>
    </w:lvl>
  </w:abstractNum>
  <w:abstractNum w:abstractNumId="6" w15:restartNumberingAfterBreak="0">
    <w:nsid w:val="577F74D4"/>
    <w:multiLevelType w:val="hybridMultilevel"/>
    <w:tmpl w:val="75BC5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590EE3"/>
    <w:multiLevelType w:val="hybridMultilevel"/>
    <w:tmpl w:val="B3184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900C17"/>
    <w:multiLevelType w:val="hybridMultilevel"/>
    <w:tmpl w:val="FA3C7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815470"/>
    <w:multiLevelType w:val="hybridMultilevel"/>
    <w:tmpl w:val="45541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7824730">
    <w:abstractNumId w:val="5"/>
    <w:lvlOverride w:ilvl="0">
      <w:startOverride w:val="1"/>
    </w:lvlOverride>
  </w:num>
  <w:num w:numId="2" w16cid:durableId="1143275700">
    <w:abstractNumId w:val="1"/>
    <w:lvlOverride w:ilvl="0">
      <w:startOverride w:val="1"/>
    </w:lvlOverride>
  </w:num>
  <w:num w:numId="3" w16cid:durableId="457139569">
    <w:abstractNumId w:val="7"/>
  </w:num>
  <w:num w:numId="4" w16cid:durableId="2124373611">
    <w:abstractNumId w:val="8"/>
  </w:num>
  <w:num w:numId="5" w16cid:durableId="2048021816">
    <w:abstractNumId w:val="0"/>
  </w:num>
  <w:num w:numId="6" w16cid:durableId="1216893777">
    <w:abstractNumId w:val="2"/>
  </w:num>
  <w:num w:numId="7" w16cid:durableId="831485851">
    <w:abstractNumId w:val="6"/>
  </w:num>
  <w:num w:numId="8" w16cid:durableId="1293484931">
    <w:abstractNumId w:val="9"/>
  </w:num>
  <w:num w:numId="9" w16cid:durableId="17099119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A5B"/>
    <w:rsid w:val="001E3183"/>
    <w:rsid w:val="002C08DC"/>
    <w:rsid w:val="002E4A5B"/>
    <w:rsid w:val="003D4E72"/>
    <w:rsid w:val="006A2612"/>
    <w:rsid w:val="00A16CF9"/>
    <w:rsid w:val="00B26803"/>
    <w:rsid w:val="00CB25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85AE357"/>
  <w15:docId w15:val="{898C13B6-796C-A444-948B-C1182C2E3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Helvetica" w:hAnsi="Helvetica" w:cs="Helvetica"/>
        <w:sz w:val="21"/>
        <w:szCs w:val="21"/>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00"/>
      <w:outlineLvl w:val="0"/>
    </w:pPr>
    <w:rPr>
      <w:b/>
      <w:bCs/>
      <w:color w:val="4D8F66"/>
      <w:sz w:val="28"/>
      <w:szCs w:val="28"/>
    </w:rPr>
  </w:style>
  <w:style w:type="paragraph" w:styleId="Heading2">
    <w:name w:val="heading 2"/>
    <w:uiPriority w:val="9"/>
    <w:unhideWhenUsed/>
    <w:qFormat/>
    <w:pPr>
      <w:spacing w:before="280" w:after="160"/>
      <w:outlineLvl w:val="1"/>
    </w:pPr>
    <w:rPr>
      <w:b/>
      <w:bCs/>
      <w:color w:val="4D8F66"/>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1787</Words>
  <Characters>11247</Characters>
  <Application>Microsoft Office Word</Application>
  <DocSecurity>0</DocSecurity>
  <Lines>442</Lines>
  <Paragraphs>211</Paragraphs>
  <ScaleCrop>false</ScaleCrop>
  <Company/>
  <LinksUpToDate>false</LinksUpToDate>
  <CharactersWithSpaces>12851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Stuart Armley-Jones</cp:lastModifiedBy>
  <cp:revision>4</cp:revision>
  <dcterms:created xsi:type="dcterms:W3CDTF">2026-02-21T15:32:00Z</dcterms:created>
  <dcterms:modified xsi:type="dcterms:W3CDTF">2026-02-23T12:35:00Z</dcterms:modified>
</cp:coreProperties>
</file>