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B28B" w14:textId="36201867" w:rsidR="007B42CD" w:rsidRDefault="00000000" w:rsidP="00E957F3">
      <w:pPr>
        <w:spacing w:after="120"/>
      </w:pPr>
      <w:r>
        <w:t>Version 1.0</w:t>
      </w:r>
    </w:p>
    <w:p w14:paraId="0E172FCD" w14:textId="77777777" w:rsidR="007B42CD" w:rsidRDefault="00000000" w:rsidP="00E957F3">
      <w:pPr>
        <w:spacing w:after="300"/>
      </w:pPr>
      <w:r>
        <w:t>Last Updated: 21 February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7B42CD" w14:paraId="3BB41FE1" w14:textId="77777777">
        <w:tblPrEx>
          <w:tblCellMar>
            <w:top w:w="0" w:type="dxa"/>
            <w:bottom w:w="0" w:type="dxa"/>
          </w:tblCellMar>
        </w:tblPrEx>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A9192E2" w14:textId="77777777" w:rsidR="007B42CD"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DBCB68E" w14:textId="77777777" w:rsidR="007B42CD" w:rsidRDefault="00000000">
            <w:r>
              <w:rPr>
                <w:b/>
                <w:bCs/>
                <w:color w:val="FFFFFF"/>
              </w:rPr>
              <w:t>Detail</w:t>
            </w:r>
          </w:p>
        </w:tc>
      </w:tr>
      <w:tr w:rsidR="007B42CD" w14:paraId="4896BB5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37E0B8" w14:textId="77777777" w:rsidR="007B42CD"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B4AE7C" w14:textId="77777777" w:rsidR="007B42CD" w:rsidRDefault="00000000">
            <w:r>
              <w:rPr>
                <w:color w:val="333333"/>
              </w:rPr>
              <w:t>Data Protection Lead, Student Radar</w:t>
            </w:r>
          </w:p>
        </w:tc>
      </w:tr>
      <w:tr w:rsidR="007B42CD" w14:paraId="5A76C8D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9EC356" w14:textId="77777777" w:rsidR="007B42CD"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B8B14E" w14:textId="77777777" w:rsidR="007B42CD" w:rsidRDefault="00000000">
            <w:r>
              <w:rPr>
                <w:color w:val="333333"/>
              </w:rPr>
              <w:t>Stuart Armley-Jones, Director</w:t>
            </w:r>
          </w:p>
        </w:tc>
      </w:tr>
      <w:tr w:rsidR="007B42CD" w14:paraId="72C1C0B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04A3B9" w14:textId="77777777" w:rsidR="007B42CD"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F09B717" w14:textId="77777777" w:rsidR="007B42CD" w:rsidRDefault="00000000">
            <w:r>
              <w:rPr>
                <w:color w:val="333333"/>
              </w:rPr>
              <w:t>Annually, or when processing of special category data changes</w:t>
            </w:r>
          </w:p>
        </w:tc>
      </w:tr>
      <w:tr w:rsidR="007B42CD" w14:paraId="62283E23"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0C65F6" w14:textId="77777777" w:rsidR="007B42CD"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B04A8A" w14:textId="77777777" w:rsidR="007B42CD" w:rsidRDefault="00000000">
            <w:r>
              <w:rPr>
                <w:color w:val="333333"/>
              </w:rPr>
              <w:t>February 2027</w:t>
            </w:r>
          </w:p>
        </w:tc>
      </w:tr>
      <w:tr w:rsidR="007B42CD" w14:paraId="4E998ED8"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E4B2C9" w14:textId="77777777" w:rsidR="007B42CD"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AB9C57" w14:textId="77777777" w:rsidR="007B42CD" w:rsidRDefault="00000000">
            <w:r>
              <w:rPr>
                <w:color w:val="333333"/>
              </w:rPr>
              <w:t>Privacy Policy, Data Processing Agreement, Data Protection Impact Assessment, Data Retention Policy, Information Security Policy</w:t>
            </w:r>
          </w:p>
        </w:tc>
      </w:tr>
    </w:tbl>
    <w:p w14:paraId="7409DB1E" w14:textId="77777777" w:rsidR="007B42CD" w:rsidRDefault="007B42CD">
      <w:pPr>
        <w:spacing w:after="200"/>
      </w:pPr>
    </w:p>
    <w:p w14:paraId="39280842" w14:textId="77777777" w:rsidR="007B42CD" w:rsidRDefault="00000000">
      <w:pPr>
        <w:pStyle w:val="Heading1"/>
      </w:pPr>
      <w:r>
        <w:t>1. Purpose and Legal Requirement</w:t>
      </w:r>
    </w:p>
    <w:p w14:paraId="4FD19747" w14:textId="77777777" w:rsidR="007B42CD" w:rsidRDefault="00000000">
      <w:pPr>
        <w:spacing w:after="160" w:line="276" w:lineRule="auto"/>
      </w:pPr>
      <w:r>
        <w:t xml:space="preserve">This Appropriate Policy Document (“APD”) is required under Part 4 of Schedule 1 to the Data Protection Act 2018 (“DPA 2018”). It sets out the procedures that Student Radar (operated by </w:t>
      </w:r>
      <w:proofErr w:type="spellStart"/>
      <w:r>
        <w:t>SENDlink</w:t>
      </w:r>
      <w:proofErr w:type="spellEnd"/>
      <w:r>
        <w:t xml:space="preserve"> LTD, Company No. 16602655) has in place for securing compliance with the data protection principles in Article 5 of the UK GDPR when processing special category data and criminal offence data.</w:t>
      </w:r>
    </w:p>
    <w:p w14:paraId="36A56DB0" w14:textId="77777777" w:rsidR="007B42CD" w:rsidRDefault="00000000">
      <w:pPr>
        <w:spacing w:after="160" w:line="276" w:lineRule="auto"/>
      </w:pPr>
      <w:r>
        <w:t>The DPA 2018 requires that where a data controller or data processor processes special category data in reliance on Schedule 1 conditions, an Appropriate Policy Document must be in place and retained for the duration of the processing and for six months after processing ceases.</w:t>
      </w:r>
    </w:p>
    <w:p w14:paraId="036DCC30" w14:textId="77777777" w:rsidR="007B42CD" w:rsidRDefault="00000000">
      <w:pPr>
        <w:spacing w:after="160" w:line="276" w:lineRule="auto"/>
      </w:pPr>
      <w:r>
        <w:t>This document satisfies the requirement of Schedule 1, Part 4, paragraph 39 of the DPA 2018.</w:t>
      </w:r>
    </w:p>
    <w:p w14:paraId="263EF959" w14:textId="77777777" w:rsidR="007B42CD" w:rsidRDefault="00000000">
      <w:pPr>
        <w:pStyle w:val="Heading1"/>
      </w:pPr>
      <w:r>
        <w:t>2. About Student Radar</w:t>
      </w:r>
    </w:p>
    <w:p w14:paraId="58F08FBE" w14:textId="77777777" w:rsidR="007B42CD" w:rsidRDefault="00000000">
      <w:pPr>
        <w:spacing w:after="160" w:line="276" w:lineRule="auto"/>
      </w:pPr>
      <w:r>
        <w:t>Student Radar is a SaaS platform for UK schools and Multi-Academy Trusts (“MATs”) that supports the identification, monitoring, and management of pupils with Special Educational Needs and Disabilities (“SEND”). The platform processes pupil data including SEND status, safeguarding flags, attendance, assessments, and related information.</w:t>
      </w:r>
    </w:p>
    <w:p w14:paraId="1FC73FA5" w14:textId="77777777" w:rsidR="007B42CD" w:rsidRDefault="00000000">
      <w:pPr>
        <w:spacing w:after="160" w:line="276" w:lineRule="auto"/>
      </w:pPr>
      <w:r>
        <w:t>Student Radar acts as a data processor on behalf of schools and MATs (the data controllers) under Article 28 of the UK GDPR. However, as a processor of special category data, Student Radar is required to maintain this APD to demonstrate its own compliance obligations under Schedule 1 of the DPA 2018.</w:t>
      </w:r>
    </w:p>
    <w:p w14:paraId="39E16BB1" w14:textId="77777777" w:rsidR="007B42CD" w:rsidRDefault="00000000">
      <w:pPr>
        <w:pStyle w:val="Heading1"/>
      </w:pPr>
      <w:r>
        <w:t>3. Special Category Data We Process</w:t>
      </w:r>
    </w:p>
    <w:p w14:paraId="17ED3B79" w14:textId="77777777" w:rsidR="007B42CD" w:rsidRDefault="00000000">
      <w:pPr>
        <w:spacing w:after="160" w:line="276" w:lineRule="auto"/>
      </w:pPr>
      <w:r>
        <w:t>Article 9 of the UK GDPR defines special category data as data revealing racial or ethnic origin, political opinions, religious or philosophical beliefs, trade union membership, genetic data, biometric data, data concerning health, or data concerning sex life or sexual orientation.</w:t>
      </w:r>
    </w:p>
    <w:p w14:paraId="030F4017" w14:textId="77777777" w:rsidR="007B42CD" w:rsidRDefault="00000000">
      <w:pPr>
        <w:spacing w:after="160" w:line="276" w:lineRule="auto"/>
      </w:pPr>
      <w:r>
        <w:lastRenderedPageBreak/>
        <w:t>In the context of the Student Radar platform, the special category data we process includes: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26"/>
        <w:gridCol w:w="3000"/>
      </w:tblGrid>
      <w:tr w:rsidR="007B42CD" w14:paraId="74B58336" w14:textId="77777777">
        <w:tblPrEx>
          <w:tblCellMar>
            <w:top w:w="0" w:type="dxa"/>
            <w:bottom w:w="0" w:type="dxa"/>
          </w:tblCellMar>
        </w:tblPrEx>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B1A6F7E" w14:textId="77777777" w:rsidR="007B42CD" w:rsidRDefault="00000000">
            <w:r>
              <w:rPr>
                <w:b/>
                <w:bCs/>
                <w:color w:val="FFFFFF"/>
              </w:rPr>
              <w:t>Category</w:t>
            </w:r>
          </w:p>
        </w:tc>
        <w:tc>
          <w:tcPr>
            <w:tcW w:w="4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0343D5F" w14:textId="77777777" w:rsidR="007B42CD" w:rsidRDefault="00000000">
            <w:r>
              <w:rPr>
                <w:b/>
                <w:bCs/>
                <w:color w:val="FFFFFF"/>
              </w:rPr>
              <w:t>Examples</w:t>
            </w:r>
          </w:p>
        </w:tc>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F233503" w14:textId="77777777" w:rsidR="007B42CD" w:rsidRDefault="00000000">
            <w:r>
              <w:rPr>
                <w:b/>
                <w:bCs/>
                <w:color w:val="FFFFFF"/>
              </w:rPr>
              <w:t>Source</w:t>
            </w:r>
          </w:p>
        </w:tc>
      </w:tr>
      <w:tr w:rsidR="007B42CD" w14:paraId="33D8EC1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77A7A0" w14:textId="77777777" w:rsidR="007B42CD" w:rsidRDefault="00000000">
            <w:r>
              <w:rPr>
                <w:color w:val="333333"/>
              </w:rPr>
              <w:t>Health data</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3668C73" w14:textId="77777777" w:rsidR="007B42CD" w:rsidRDefault="00000000">
            <w:r>
              <w:rPr>
                <w:color w:val="333333"/>
              </w:rPr>
              <w:t>SEND status (e.g. EHC plan, SEN Support, SEN Monitoring), medical conditions, physical disabilities, mental health needs, therapy records, speech and language therapy notes</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270433" w14:textId="77777777" w:rsidR="007B42CD" w:rsidRDefault="00000000">
            <w:r>
              <w:rPr>
                <w:color w:val="333333"/>
              </w:rPr>
              <w:t>School MIS via Wonde; direct input by school staff</w:t>
            </w:r>
          </w:p>
        </w:tc>
      </w:tr>
      <w:tr w:rsidR="007B42CD" w14:paraId="5BEF5471"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E55CB0" w14:textId="77777777" w:rsidR="007B42CD" w:rsidRDefault="00000000">
            <w:r>
              <w:rPr>
                <w:color w:val="333333"/>
              </w:rPr>
              <w:t>Racial or ethnic origin</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1217FDD" w14:textId="77777777" w:rsidR="007B42CD" w:rsidRDefault="00000000">
            <w:r>
              <w:rPr>
                <w:color w:val="333333"/>
              </w:rPr>
              <w:t>Ethnicity codes (where included in MIS sync for contextual analysis of SEND provision)</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331667" w14:textId="77777777" w:rsidR="007B42CD" w:rsidRDefault="00000000">
            <w:r>
              <w:rPr>
                <w:color w:val="333333"/>
              </w:rPr>
              <w:t>School MIS via Wonde</w:t>
            </w:r>
          </w:p>
        </w:tc>
      </w:tr>
      <w:tr w:rsidR="007B42CD" w14:paraId="3F796ACD"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8769F7" w14:textId="77777777" w:rsidR="007B42CD" w:rsidRDefault="00000000">
            <w:r>
              <w:rPr>
                <w:color w:val="333333"/>
              </w:rPr>
              <w:t>Religious or philosophical beliefs</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F8E652" w14:textId="77777777" w:rsidR="007B42CD" w:rsidRDefault="00000000">
            <w:r>
              <w:rPr>
                <w:color w:val="333333"/>
              </w:rPr>
              <w:t>Religion (where included in MIS sync for contextual analysis)</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A8BD78" w14:textId="77777777" w:rsidR="007B42CD" w:rsidRDefault="00000000">
            <w:r>
              <w:rPr>
                <w:color w:val="333333"/>
              </w:rPr>
              <w:t>School MIS via Wonde</w:t>
            </w:r>
          </w:p>
        </w:tc>
      </w:tr>
      <w:tr w:rsidR="007B42CD" w14:paraId="7926C5A4"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031BE1" w14:textId="77777777" w:rsidR="007B42CD" w:rsidRDefault="00000000">
            <w:r>
              <w:rPr>
                <w:color w:val="333333"/>
              </w:rPr>
              <w:t>Data concerning sex life or sexual orientation</w:t>
            </w:r>
          </w:p>
        </w:tc>
        <w:tc>
          <w:tcPr>
            <w:tcW w:w="4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5165AD" w14:textId="77777777" w:rsidR="007B42CD" w:rsidRDefault="00000000">
            <w:r>
              <w:rPr>
                <w:color w:val="333333"/>
              </w:rPr>
              <w:t>Where disclosed in safeguarding records or welfare notes</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B656A6" w14:textId="77777777" w:rsidR="007B42CD" w:rsidRDefault="00000000">
            <w:r>
              <w:rPr>
                <w:color w:val="333333"/>
              </w:rPr>
              <w:t>Direct input by school staff</w:t>
            </w:r>
          </w:p>
        </w:tc>
      </w:tr>
    </w:tbl>
    <w:p w14:paraId="5F792345" w14:textId="77777777" w:rsidR="007B42CD" w:rsidRDefault="007B42CD">
      <w:pPr>
        <w:spacing w:after="200"/>
      </w:pPr>
    </w:p>
    <w:p w14:paraId="454B04FA" w14:textId="77777777" w:rsidR="007B42CD" w:rsidRDefault="00000000">
      <w:pPr>
        <w:spacing w:after="160" w:line="276" w:lineRule="auto"/>
      </w:pPr>
      <w:r>
        <w:t>We do not process genetic data, biometric data, political opinions, or trade union membership data.</w:t>
      </w:r>
    </w:p>
    <w:p w14:paraId="6A0ACEC6" w14:textId="77777777" w:rsidR="007B42CD" w:rsidRDefault="00000000">
      <w:pPr>
        <w:pStyle w:val="Heading1"/>
      </w:pPr>
      <w:r>
        <w:t>4. Criminal Offence Data</w:t>
      </w:r>
    </w:p>
    <w:p w14:paraId="3BAB679C" w14:textId="77777777" w:rsidR="007B42CD" w:rsidRDefault="00000000">
      <w:pPr>
        <w:spacing w:after="160" w:line="276" w:lineRule="auto"/>
      </w:pPr>
      <w:r>
        <w:t>Student Radar may process data relating to criminal offences or alleged offences where this is recorded in safeguarding records or welfare notes by school staff. Examples include:</w:t>
      </w:r>
    </w:p>
    <w:p w14:paraId="39B291CE" w14:textId="77777777" w:rsidR="007B42CD" w:rsidRDefault="00000000" w:rsidP="00E957F3">
      <w:pPr>
        <w:pStyle w:val="ListParagraph"/>
        <w:numPr>
          <w:ilvl w:val="0"/>
          <w:numId w:val="3"/>
        </w:numPr>
        <w:spacing w:after="80" w:line="276" w:lineRule="auto"/>
      </w:pPr>
      <w:r>
        <w:t>Disclosures of abuse or exploitation</w:t>
      </w:r>
    </w:p>
    <w:p w14:paraId="12906647" w14:textId="77777777" w:rsidR="007B42CD" w:rsidRDefault="00000000" w:rsidP="00E957F3">
      <w:pPr>
        <w:pStyle w:val="ListParagraph"/>
        <w:numPr>
          <w:ilvl w:val="0"/>
          <w:numId w:val="3"/>
        </w:numPr>
        <w:spacing w:after="80" w:line="276" w:lineRule="auto"/>
      </w:pPr>
      <w:r>
        <w:t>Referrals to the police, social services, or the Local Authority Designated Officer (LADO)</w:t>
      </w:r>
    </w:p>
    <w:p w14:paraId="48B06E7C" w14:textId="77777777" w:rsidR="007B42CD" w:rsidRDefault="00000000" w:rsidP="00E957F3">
      <w:pPr>
        <w:pStyle w:val="ListParagraph"/>
        <w:numPr>
          <w:ilvl w:val="0"/>
          <w:numId w:val="3"/>
        </w:numPr>
        <w:spacing w:after="80" w:line="276" w:lineRule="auto"/>
      </w:pPr>
      <w:r>
        <w:t>Records of criminal behaviour affecting the welfare of a pupil</w:t>
      </w:r>
    </w:p>
    <w:p w14:paraId="338B69D5" w14:textId="77777777" w:rsidR="007B42CD" w:rsidRDefault="00000000">
      <w:pPr>
        <w:spacing w:after="160" w:line="276" w:lineRule="auto"/>
      </w:pPr>
      <w:r>
        <w:t>This data is entered by authorised school staff in their capacity as safeguarding leads and is processed under the conditions set out in Section 5 below.</w:t>
      </w:r>
    </w:p>
    <w:p w14:paraId="0667E19B" w14:textId="77777777" w:rsidR="007B42CD" w:rsidRDefault="00000000">
      <w:pPr>
        <w:pStyle w:val="Heading1"/>
      </w:pPr>
      <w:r>
        <w:t>5. Conditions for Processing</w:t>
      </w:r>
    </w:p>
    <w:p w14:paraId="5A46A6E3" w14:textId="77777777" w:rsidR="007B42CD" w:rsidRDefault="00000000">
      <w:pPr>
        <w:spacing w:after="160" w:line="276" w:lineRule="auto"/>
      </w:pPr>
      <w:r>
        <w:t>Student Radar processes special category data and criminal offence data under the following conditions of Schedule 1 to the DPA 2018:</w:t>
      </w:r>
    </w:p>
    <w:p w14:paraId="637D396A" w14:textId="77777777" w:rsidR="007B42CD" w:rsidRDefault="00000000">
      <w:pPr>
        <w:pStyle w:val="Heading2"/>
      </w:pPr>
      <w:r>
        <w:t>5.1 Special Category Data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91"/>
        <w:gridCol w:w="1239"/>
        <w:gridCol w:w="5296"/>
      </w:tblGrid>
      <w:tr w:rsidR="007B42CD" w14:paraId="3F0C15F4" w14:textId="77777777">
        <w:tblPrEx>
          <w:tblCellMar>
            <w:top w:w="0" w:type="dxa"/>
            <w:bottom w:w="0" w:type="dxa"/>
          </w:tblCellMar>
        </w:tblPrEx>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6108760" w14:textId="77777777" w:rsidR="007B42CD" w:rsidRDefault="00000000">
            <w:r>
              <w:rPr>
                <w:b/>
                <w:bCs/>
                <w:color w:val="FFFFFF"/>
              </w:rPr>
              <w:t>Schedule 1 Condition</w:t>
            </w:r>
          </w:p>
        </w:tc>
        <w:tc>
          <w:tcPr>
            <w:tcW w:w="1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3264EFB" w14:textId="77777777" w:rsidR="007B42CD" w:rsidRDefault="00000000">
            <w:r>
              <w:rPr>
                <w:b/>
                <w:bCs/>
                <w:color w:val="FFFFFF"/>
              </w:rPr>
              <w:t>Paragraph</w:t>
            </w:r>
          </w:p>
        </w:tc>
        <w:tc>
          <w:tcPr>
            <w:tcW w:w="53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FB0DC9B" w14:textId="77777777" w:rsidR="007B42CD" w:rsidRDefault="00000000">
            <w:r>
              <w:rPr>
                <w:b/>
                <w:bCs/>
                <w:color w:val="FFFFFF"/>
              </w:rPr>
              <w:t>Application</w:t>
            </w:r>
          </w:p>
        </w:tc>
      </w:tr>
      <w:tr w:rsidR="007B42CD" w14:paraId="1DC4881A"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B2FDD8" w14:textId="77777777" w:rsidR="007B42CD" w:rsidRDefault="00000000">
            <w:r>
              <w:rPr>
                <w:color w:val="333333"/>
              </w:rPr>
              <w:t>Substantial public interest: safeguarding of children and individuals at risk</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C116E4" w14:textId="77777777" w:rsidR="007B42CD" w:rsidRDefault="00000000">
            <w:r>
              <w:rPr>
                <w:color w:val="333333"/>
              </w:rPr>
              <w:t>Paragraph 18</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98175A" w14:textId="77777777" w:rsidR="007B42CD" w:rsidRDefault="00000000">
            <w:r>
              <w:rPr>
                <w:color w:val="333333"/>
              </w:rPr>
              <w:t>Processing is necessary to protect children from neglect, physical, mental, or emotional harm, or to protect the physical, mental, or emotional well-being of children. This is the primary condition relied upon for safeguarding records and welfare data</w:t>
            </w:r>
          </w:p>
        </w:tc>
      </w:tr>
      <w:tr w:rsidR="007B42CD" w14:paraId="0D86237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A60DF6" w14:textId="77777777" w:rsidR="007B42CD" w:rsidRDefault="00000000">
            <w:r>
              <w:rPr>
                <w:color w:val="333333"/>
              </w:rPr>
              <w:lastRenderedPageBreak/>
              <w:t>Substantial public interest: preventing or detecting unlawful acts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7258E7" w14:textId="77777777" w:rsidR="007B42CD" w:rsidRDefault="00000000">
            <w:r>
              <w:rPr>
                <w:color w:val="333333"/>
              </w:rPr>
              <w:t>Paragraph 10</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C97B26" w14:textId="77777777" w:rsidR="007B42CD" w:rsidRDefault="00000000">
            <w:r>
              <w:rPr>
                <w:color w:val="333333"/>
              </w:rPr>
              <w:t>Processing is necessary for the prevention or detection of an unlawful act, where seeking consent would prejudice those purposes. Relied upon where safeguarding records include disclosures of criminal conduct</w:t>
            </w:r>
          </w:p>
        </w:tc>
      </w:tr>
      <w:tr w:rsidR="007B42CD" w14:paraId="4B7E9D7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0C6593" w14:textId="77777777" w:rsidR="007B42CD" w:rsidRDefault="00000000">
            <w:r>
              <w:rPr>
                <w:color w:val="333333"/>
              </w:rPr>
              <w:t>Substantial public interest: protecting the public against dishonesty</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A19935" w14:textId="77777777" w:rsidR="007B42CD" w:rsidRDefault="00000000">
            <w:r>
              <w:rPr>
                <w:color w:val="333333"/>
              </w:rPr>
              <w:t>Paragraph 11</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7F7A2C" w14:textId="77777777" w:rsidR="007B42CD" w:rsidRDefault="00000000">
            <w:r>
              <w:rPr>
                <w:color w:val="333333"/>
              </w:rPr>
              <w:t>Relied upon in limited circumstances where safeguarding data relates to allegations against staff or adults in positions of trust</w:t>
            </w:r>
          </w:p>
        </w:tc>
      </w:tr>
      <w:tr w:rsidR="007B42CD" w14:paraId="2DCD5609"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36B898A" w14:textId="77777777" w:rsidR="007B42CD" w:rsidRDefault="00000000">
            <w:r>
              <w:rPr>
                <w:color w:val="333333"/>
              </w:rPr>
              <w:t>Employment, social security, and social protection</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F884C85" w14:textId="77777777" w:rsidR="007B42CD" w:rsidRDefault="00000000">
            <w:r>
              <w:rPr>
                <w:color w:val="333333"/>
              </w:rPr>
              <w:t>Paragraph 1</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EC7EE9" w14:textId="77777777" w:rsidR="007B42CD" w:rsidRDefault="00000000">
            <w:r>
              <w:rPr>
                <w:color w:val="333333"/>
              </w:rPr>
              <w:t>Processing is necessary for the purposes of performing or exercising obligations or rights imposed or conferred by law on the controller in connection with employment or education. Relied upon for processing health data and SEND status in the context of statutory duties under the Children and Families Act 2014 and the Equality Act 2010</w:t>
            </w:r>
          </w:p>
        </w:tc>
      </w:tr>
      <w:tr w:rsidR="007B42CD" w14:paraId="458D5BA3"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6A633F" w14:textId="77777777" w:rsidR="007B42CD" w:rsidRDefault="00000000">
            <w:r>
              <w:rPr>
                <w:color w:val="333333"/>
              </w:rPr>
              <w:t>Health or social care purposes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6E48C5" w14:textId="77777777" w:rsidR="007B42CD" w:rsidRDefault="00000000">
            <w:r>
              <w:rPr>
                <w:color w:val="333333"/>
              </w:rPr>
              <w:t>Paragraph 2</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EA8216" w14:textId="77777777" w:rsidR="007B42CD" w:rsidRDefault="00000000">
            <w:r>
              <w:rPr>
                <w:color w:val="333333"/>
              </w:rPr>
              <w:t>Processing is necessary for health or social care purposes, including the management of health or social care systems. Relied upon for health-related SEND data where processing supports the delivery of education health care plans (EHCPs)</w:t>
            </w:r>
          </w:p>
        </w:tc>
      </w:tr>
      <w:tr w:rsidR="007B42CD" w14:paraId="343F21EE"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01474B" w14:textId="77777777" w:rsidR="007B42CD" w:rsidRDefault="00000000">
            <w:r>
              <w:rPr>
                <w:color w:val="333333"/>
              </w:rPr>
              <w:t>Archiving, research, and statistics</w:t>
            </w:r>
          </w:p>
        </w:tc>
        <w:tc>
          <w:tcPr>
            <w:tcW w:w="1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18E23C" w14:textId="77777777" w:rsidR="007B42CD" w:rsidRDefault="00000000">
            <w:r>
              <w:rPr>
                <w:color w:val="333333"/>
              </w:rPr>
              <w:t>Paragraph 4</w:t>
            </w:r>
          </w:p>
        </w:tc>
        <w:tc>
          <w:tcPr>
            <w:tcW w:w="53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ABF767" w14:textId="77777777" w:rsidR="007B42CD" w:rsidRDefault="00000000">
            <w:r>
              <w:rPr>
                <w:color w:val="333333"/>
              </w:rPr>
              <w:t>Relied upon where anonymised or pseudonymised special category data is used for statistical analysis of SEND provision, outcomes, and resource allocation</w:t>
            </w:r>
          </w:p>
        </w:tc>
      </w:tr>
    </w:tbl>
    <w:p w14:paraId="7505766F" w14:textId="77777777" w:rsidR="007B42CD" w:rsidRDefault="007B42CD">
      <w:pPr>
        <w:spacing w:after="200"/>
      </w:pPr>
    </w:p>
    <w:p w14:paraId="6D9D6B65" w14:textId="77777777" w:rsidR="007B42CD" w:rsidRDefault="00000000">
      <w:pPr>
        <w:pStyle w:val="Heading2"/>
      </w:pPr>
      <w:r>
        <w:t>5.2 Criminal Offence Data</w:t>
      </w:r>
    </w:p>
    <w:p w14:paraId="4B2DF142" w14:textId="77777777" w:rsidR="007B42CD" w:rsidRDefault="00000000">
      <w:pPr>
        <w:spacing w:after="160" w:line="276" w:lineRule="auto"/>
      </w:pPr>
      <w:r>
        <w:t>Criminal offence data is processed under:</w:t>
      </w:r>
    </w:p>
    <w:p w14:paraId="3C8D5CA6" w14:textId="77777777" w:rsidR="007B42CD" w:rsidRDefault="00000000">
      <w:pPr>
        <w:pStyle w:val="ListParagraph"/>
        <w:numPr>
          <w:ilvl w:val="0"/>
          <w:numId w:val="2"/>
        </w:numPr>
        <w:spacing w:after="80" w:line="276" w:lineRule="auto"/>
      </w:pPr>
      <w:r>
        <w:rPr>
          <w:b/>
          <w:bCs/>
        </w:rPr>
        <w:t xml:space="preserve">Schedule 1, Part 2, Paragraph 10: </w:t>
      </w:r>
      <w:r>
        <w:t>Preventing or detecting unlawful acts – where processing is necessary for the prevention or detection of an unlawful act and must be carried out without the consent of the data subject so as not to prejudice those purposes</w:t>
      </w:r>
    </w:p>
    <w:p w14:paraId="162826D2" w14:textId="77777777" w:rsidR="007B42CD" w:rsidRDefault="00000000">
      <w:pPr>
        <w:pStyle w:val="ListParagraph"/>
        <w:numPr>
          <w:ilvl w:val="0"/>
          <w:numId w:val="2"/>
        </w:numPr>
        <w:spacing w:after="80" w:line="276" w:lineRule="auto"/>
      </w:pPr>
      <w:r>
        <w:rPr>
          <w:b/>
          <w:bCs/>
        </w:rPr>
        <w:t xml:space="preserve">Schedule 1, Part 2, Paragraph 18: </w:t>
      </w:r>
      <w:r>
        <w:t>Safeguarding of children and individuals at risk – where processing is necessary to protect the welfare of children</w:t>
      </w:r>
    </w:p>
    <w:p w14:paraId="1D6609F4" w14:textId="77777777" w:rsidR="007B42CD" w:rsidRDefault="00000000">
      <w:pPr>
        <w:pStyle w:val="ListParagraph"/>
        <w:numPr>
          <w:ilvl w:val="0"/>
          <w:numId w:val="2"/>
        </w:numPr>
        <w:spacing w:after="80" w:line="276" w:lineRule="auto"/>
      </w:pPr>
      <w:r>
        <w:rPr>
          <w:b/>
          <w:bCs/>
        </w:rPr>
        <w:t xml:space="preserve">Section 10(5) DPA 2018: </w:t>
      </w:r>
      <w:r>
        <w:t>Processing is authorised by law – schools have statutory safeguarding duties under the Education Act 2002 (Section 175) and the Children Act 2004</w:t>
      </w:r>
    </w:p>
    <w:p w14:paraId="6E9889F0" w14:textId="77777777" w:rsidR="007B42CD" w:rsidRDefault="00000000">
      <w:pPr>
        <w:pStyle w:val="Heading1"/>
      </w:pPr>
      <w:r>
        <w:t>6. Compliance with Data Protection Principles</w:t>
      </w:r>
    </w:p>
    <w:p w14:paraId="6CF0B425" w14:textId="77777777" w:rsidR="007B42CD" w:rsidRDefault="00000000">
      <w:pPr>
        <w:spacing w:after="160" w:line="276" w:lineRule="auto"/>
      </w:pPr>
      <w:r>
        <w:t>Article 5 of the UK GDPR sets out the principles relating to processing of personal data. This section describes how Student Radar complies with each principle in relation to special category data.</w:t>
      </w:r>
    </w:p>
    <w:p w14:paraId="693BE84C" w14:textId="77777777" w:rsidR="007B42CD" w:rsidRDefault="00000000">
      <w:pPr>
        <w:pStyle w:val="Heading2"/>
      </w:pPr>
      <w:r>
        <w:lastRenderedPageBreak/>
        <w:t>6.1 Lawfulness, Fairness, and Transparency (Article 5(1)(a))</w:t>
      </w:r>
    </w:p>
    <w:p w14:paraId="3A4BAB5D" w14:textId="77777777" w:rsidR="007B42CD" w:rsidRDefault="00000000" w:rsidP="00E957F3">
      <w:pPr>
        <w:pStyle w:val="ListParagraph"/>
        <w:numPr>
          <w:ilvl w:val="0"/>
          <w:numId w:val="4"/>
        </w:numPr>
        <w:spacing w:after="80" w:line="276" w:lineRule="auto"/>
      </w:pPr>
      <w:r>
        <w:t>Processing is carried out under the lawful conditions identified in Section 5 above</w:t>
      </w:r>
    </w:p>
    <w:p w14:paraId="03F9DD04" w14:textId="77777777" w:rsidR="007B42CD" w:rsidRDefault="00000000" w:rsidP="00E957F3">
      <w:pPr>
        <w:pStyle w:val="ListParagraph"/>
        <w:numPr>
          <w:ilvl w:val="0"/>
          <w:numId w:val="4"/>
        </w:numPr>
        <w:spacing w:after="80" w:line="276" w:lineRule="auto"/>
      </w:pPr>
      <w:r>
        <w:t>Data subjects (parents/carers and, where appropriate, pupils) are informed of the processing through the school’s privacy notice. Student Radar’s own Privacy Policy also describes the categories of data processed</w:t>
      </w:r>
    </w:p>
    <w:p w14:paraId="23A087D8" w14:textId="77777777" w:rsidR="007B42CD" w:rsidRDefault="00000000" w:rsidP="00E957F3">
      <w:pPr>
        <w:pStyle w:val="ListParagraph"/>
        <w:numPr>
          <w:ilvl w:val="0"/>
          <w:numId w:val="4"/>
        </w:numPr>
        <w:spacing w:after="80" w:line="276" w:lineRule="auto"/>
      </w:pPr>
      <w:r>
        <w:t>Schools are provided with a Data Processing Agreement (DPA) that clearly defines the scope, purpose, and legal basis of processing</w:t>
      </w:r>
    </w:p>
    <w:p w14:paraId="60883572" w14:textId="77777777" w:rsidR="007B42CD" w:rsidRDefault="00000000" w:rsidP="00E957F3">
      <w:pPr>
        <w:pStyle w:val="ListParagraph"/>
        <w:numPr>
          <w:ilvl w:val="0"/>
          <w:numId w:val="4"/>
        </w:numPr>
        <w:spacing w:after="80" w:line="276" w:lineRule="auto"/>
      </w:pPr>
      <w:r>
        <w:t>This APD is available to data subjects on request</w:t>
      </w:r>
    </w:p>
    <w:p w14:paraId="6477374B" w14:textId="77777777" w:rsidR="007B42CD" w:rsidRDefault="00000000">
      <w:pPr>
        <w:pStyle w:val="Heading2"/>
      </w:pPr>
      <w:r>
        <w:t>6.2 Purpose Limitation (Article 5(1)(b))</w:t>
      </w:r>
    </w:p>
    <w:p w14:paraId="4C913321" w14:textId="77777777" w:rsidR="007B42CD" w:rsidRDefault="00000000" w:rsidP="00E957F3">
      <w:pPr>
        <w:pStyle w:val="ListParagraph"/>
        <w:numPr>
          <w:ilvl w:val="0"/>
          <w:numId w:val="5"/>
        </w:numPr>
        <w:spacing w:after="80" w:line="276" w:lineRule="auto"/>
      </w:pPr>
      <w:r>
        <w:t>Special category data is processed solely for the purposes specified in the DPA: supporting the identification, monitoring, and management of SEND, safeguarding, and statutory reporting</w:t>
      </w:r>
    </w:p>
    <w:p w14:paraId="79634EA1" w14:textId="77777777" w:rsidR="007B42CD" w:rsidRDefault="00000000" w:rsidP="00E957F3">
      <w:pPr>
        <w:pStyle w:val="ListParagraph"/>
        <w:numPr>
          <w:ilvl w:val="0"/>
          <w:numId w:val="5"/>
        </w:numPr>
        <w:spacing w:after="80" w:line="276" w:lineRule="auto"/>
      </w:pPr>
      <w:r>
        <w:t>Data is not processed for marketing, advertising, profiling, or any purpose unrelated to the educational welfare of pupils</w:t>
      </w:r>
    </w:p>
    <w:p w14:paraId="71CC67ED" w14:textId="77777777" w:rsidR="007B42CD" w:rsidRDefault="00000000" w:rsidP="00E957F3">
      <w:pPr>
        <w:pStyle w:val="ListParagraph"/>
        <w:numPr>
          <w:ilvl w:val="0"/>
          <w:numId w:val="5"/>
        </w:numPr>
        <w:spacing w:after="80" w:line="276" w:lineRule="auto"/>
      </w:pPr>
      <w:r>
        <w:t>Where AI features process special category data, outputs are advisory only, human-in-the-loop, and limited to the purposes defined in the DPA</w:t>
      </w:r>
    </w:p>
    <w:p w14:paraId="49BBEF73" w14:textId="77777777" w:rsidR="007B42CD" w:rsidRDefault="00000000">
      <w:pPr>
        <w:pStyle w:val="Heading2"/>
      </w:pPr>
      <w:r>
        <w:t>6.3 Data Minimisation (Article 5(1)(c))</w:t>
      </w:r>
    </w:p>
    <w:p w14:paraId="49DDEE76" w14:textId="77777777" w:rsidR="007B42CD" w:rsidRDefault="00000000" w:rsidP="00E957F3">
      <w:pPr>
        <w:pStyle w:val="ListParagraph"/>
        <w:numPr>
          <w:ilvl w:val="0"/>
          <w:numId w:val="6"/>
        </w:numPr>
        <w:spacing w:after="80" w:line="276" w:lineRule="auto"/>
      </w:pPr>
      <w:r>
        <w:t>Only data that is adequate, relevant, and necessary for the stated purposes is processed</w:t>
      </w:r>
    </w:p>
    <w:p w14:paraId="6211FCFB" w14:textId="77777777" w:rsidR="007B42CD" w:rsidRDefault="00000000" w:rsidP="00E957F3">
      <w:pPr>
        <w:pStyle w:val="ListParagraph"/>
        <w:numPr>
          <w:ilvl w:val="0"/>
          <w:numId w:val="6"/>
        </w:numPr>
        <w:spacing w:after="80" w:line="276" w:lineRule="auto"/>
      </w:pPr>
      <w:r>
        <w:t>Schools configure the scope of data synchronised via Wonde (the MIS integration provider) and may exclude categories not required for their use of the Platform</w:t>
      </w:r>
    </w:p>
    <w:p w14:paraId="67231A66" w14:textId="77777777" w:rsidR="007B42CD" w:rsidRDefault="00000000" w:rsidP="00E957F3">
      <w:pPr>
        <w:pStyle w:val="ListParagraph"/>
        <w:numPr>
          <w:ilvl w:val="0"/>
          <w:numId w:val="6"/>
        </w:numPr>
        <w:spacing w:after="80" w:line="276" w:lineRule="auto"/>
      </w:pPr>
      <w:r>
        <w:t>AI features receive tokenised data only; raw personal data is not transmitted to third-party AI sub-processors</w:t>
      </w:r>
    </w:p>
    <w:p w14:paraId="48B8A680" w14:textId="77777777" w:rsidR="007B42CD" w:rsidRDefault="00000000" w:rsidP="00E957F3">
      <w:pPr>
        <w:pStyle w:val="ListParagraph"/>
        <w:numPr>
          <w:ilvl w:val="0"/>
          <w:numId w:val="6"/>
        </w:numPr>
        <w:spacing w:after="80" w:line="276" w:lineRule="auto"/>
      </w:pPr>
      <w:r>
        <w:t>The Platform does not collect data directly from pupils or parents/carers</w:t>
      </w:r>
    </w:p>
    <w:p w14:paraId="6ED86878" w14:textId="77777777" w:rsidR="007B42CD" w:rsidRDefault="00000000">
      <w:pPr>
        <w:pStyle w:val="Heading2"/>
      </w:pPr>
      <w:r>
        <w:t>6.4 Accuracy (Article 5(1)(d))</w:t>
      </w:r>
    </w:p>
    <w:p w14:paraId="7F2CB9FA" w14:textId="77777777" w:rsidR="007B42CD" w:rsidRDefault="00000000" w:rsidP="00E957F3">
      <w:pPr>
        <w:pStyle w:val="ListParagraph"/>
        <w:numPr>
          <w:ilvl w:val="0"/>
          <w:numId w:val="7"/>
        </w:numPr>
        <w:spacing w:after="80" w:line="276" w:lineRule="auto"/>
      </w:pPr>
      <w:r>
        <w:t>Pupil data is synchronised from the school’s MIS, which is the authoritative source maintained by the school</w:t>
      </w:r>
    </w:p>
    <w:p w14:paraId="71E7ABB8" w14:textId="77777777" w:rsidR="007B42CD" w:rsidRDefault="00000000" w:rsidP="00E957F3">
      <w:pPr>
        <w:pStyle w:val="ListParagraph"/>
        <w:numPr>
          <w:ilvl w:val="0"/>
          <w:numId w:val="7"/>
        </w:numPr>
        <w:spacing w:after="80" w:line="276" w:lineRule="auto"/>
      </w:pPr>
      <w:r>
        <w:t>Schools may update and correct data directly within the Platform</w:t>
      </w:r>
    </w:p>
    <w:p w14:paraId="5FB3B471" w14:textId="77777777" w:rsidR="007B42CD" w:rsidRDefault="00000000" w:rsidP="00E957F3">
      <w:pPr>
        <w:pStyle w:val="ListParagraph"/>
        <w:numPr>
          <w:ilvl w:val="0"/>
          <w:numId w:val="7"/>
        </w:numPr>
        <w:spacing w:after="80" w:line="276" w:lineRule="auto"/>
      </w:pPr>
      <w:r>
        <w:t>Synchronisation frequency ensures data is kept current (typically daily or on-demand via Wonde webhooks with HMAC-SHA256 authentication)</w:t>
      </w:r>
    </w:p>
    <w:p w14:paraId="0C1E43F9" w14:textId="77777777" w:rsidR="007B42CD" w:rsidRDefault="00000000">
      <w:pPr>
        <w:pStyle w:val="Heading2"/>
      </w:pPr>
      <w:r>
        <w:t>6.5 Storage Limitation (Article 5(1)(e))</w:t>
      </w:r>
    </w:p>
    <w:p w14:paraId="002250AC" w14:textId="77777777" w:rsidR="007B42CD" w:rsidRDefault="00000000" w:rsidP="00E957F3">
      <w:pPr>
        <w:pStyle w:val="ListParagraph"/>
        <w:numPr>
          <w:ilvl w:val="0"/>
          <w:numId w:val="8"/>
        </w:numPr>
        <w:spacing w:after="80" w:line="276" w:lineRule="auto"/>
      </w:pPr>
      <w:r>
        <w:t>Special category data is retained only for as long as necessary for the purposes of processing, as set out in the Data Retention Policy</w:t>
      </w:r>
    </w:p>
    <w:p w14:paraId="3F7D8637" w14:textId="77777777" w:rsidR="007B42CD" w:rsidRDefault="00000000" w:rsidP="00E957F3">
      <w:pPr>
        <w:pStyle w:val="ListParagraph"/>
        <w:numPr>
          <w:ilvl w:val="0"/>
          <w:numId w:val="8"/>
        </w:numPr>
        <w:spacing w:after="80" w:line="276" w:lineRule="auto"/>
      </w:pPr>
      <w:r>
        <w:t>On termination of the service agreement, all Customer Data (including special category data) is deleted within 30 days, with written confirmation provided to the school</w:t>
      </w:r>
    </w:p>
    <w:p w14:paraId="4D92BA82" w14:textId="77777777" w:rsidR="007B42CD" w:rsidRDefault="00000000" w:rsidP="00E957F3">
      <w:pPr>
        <w:pStyle w:val="ListParagraph"/>
        <w:numPr>
          <w:ilvl w:val="0"/>
          <w:numId w:val="8"/>
        </w:numPr>
        <w:spacing w:after="80" w:line="276" w:lineRule="auto"/>
      </w:pPr>
      <w:r>
        <w:lastRenderedPageBreak/>
        <w:t>Statutory safeguarding records are not deleted without prior consultation with the Customer, unless required by law</w:t>
      </w:r>
    </w:p>
    <w:p w14:paraId="1109DCE1" w14:textId="77777777" w:rsidR="007B42CD" w:rsidRDefault="00000000" w:rsidP="00E957F3">
      <w:pPr>
        <w:pStyle w:val="ListParagraph"/>
        <w:numPr>
          <w:ilvl w:val="0"/>
          <w:numId w:val="8"/>
        </w:numPr>
        <w:spacing w:after="80" w:line="276" w:lineRule="auto"/>
      </w:pPr>
      <w:r>
        <w:t>Anonymised data used for statistical analysis is irreversibly anonymised; re-identification risk is assessed and excluded</w:t>
      </w:r>
    </w:p>
    <w:p w14:paraId="426B5A70" w14:textId="77777777" w:rsidR="007B42CD" w:rsidRDefault="00000000">
      <w:pPr>
        <w:pStyle w:val="Heading2"/>
      </w:pPr>
      <w:r>
        <w:t>6.6 Integrity and Confidentiality (Article 5(1)(f))</w:t>
      </w:r>
    </w:p>
    <w:p w14:paraId="2B794518" w14:textId="77777777" w:rsidR="007B42CD" w:rsidRDefault="00000000" w:rsidP="00E957F3">
      <w:pPr>
        <w:pStyle w:val="ListParagraph"/>
        <w:numPr>
          <w:ilvl w:val="0"/>
          <w:numId w:val="9"/>
        </w:numPr>
        <w:spacing w:after="80" w:line="276" w:lineRule="auto"/>
      </w:pPr>
      <w:r>
        <w:t>All data is encrypted at rest (AES-256) and in transit (TLS 1.2+)</w:t>
      </w:r>
    </w:p>
    <w:p w14:paraId="665C6B5B" w14:textId="77777777" w:rsidR="007B42CD" w:rsidRDefault="00000000" w:rsidP="00E957F3">
      <w:pPr>
        <w:pStyle w:val="ListParagraph"/>
        <w:numPr>
          <w:ilvl w:val="0"/>
          <w:numId w:val="9"/>
        </w:numPr>
        <w:spacing w:after="80" w:line="276" w:lineRule="auto"/>
      </w:pPr>
      <w:r>
        <w:t>Row-Level Security (RLS) enforced at the database level using JWT claims ensures that each school can only access its own data</w:t>
      </w:r>
    </w:p>
    <w:p w14:paraId="028F6066" w14:textId="77777777" w:rsidR="007B42CD" w:rsidRDefault="00000000" w:rsidP="00E957F3">
      <w:pPr>
        <w:pStyle w:val="ListParagraph"/>
        <w:numPr>
          <w:ilvl w:val="0"/>
          <w:numId w:val="9"/>
        </w:numPr>
        <w:spacing w:after="80" w:line="276" w:lineRule="auto"/>
      </w:pPr>
      <w:r>
        <w:t>Multi-factor authentication (MFA / AAL2) is enforced for staff accessing the Platform</w:t>
      </w:r>
    </w:p>
    <w:p w14:paraId="5171D077" w14:textId="77777777" w:rsidR="007B42CD" w:rsidRDefault="00000000" w:rsidP="00E957F3">
      <w:pPr>
        <w:pStyle w:val="ListParagraph"/>
        <w:numPr>
          <w:ilvl w:val="0"/>
          <w:numId w:val="9"/>
        </w:numPr>
        <w:spacing w:after="80" w:line="276" w:lineRule="auto"/>
      </w:pPr>
      <w:r>
        <w:t>Role-based access control limits access to special category data to authorised personnel within each school</w:t>
      </w:r>
    </w:p>
    <w:p w14:paraId="165753E8" w14:textId="77777777" w:rsidR="007B42CD" w:rsidRDefault="00000000" w:rsidP="00E957F3">
      <w:pPr>
        <w:pStyle w:val="ListParagraph"/>
        <w:numPr>
          <w:ilvl w:val="0"/>
          <w:numId w:val="9"/>
        </w:numPr>
        <w:spacing w:after="80" w:line="276" w:lineRule="auto"/>
      </w:pPr>
      <w:r>
        <w:t xml:space="preserve">Platform infrastructure is hosted on </w:t>
      </w:r>
      <w:proofErr w:type="spellStart"/>
      <w:r>
        <w:t>Supabase</w:t>
      </w:r>
      <w:proofErr w:type="spellEnd"/>
      <w:r>
        <w:t xml:space="preserve"> (eu-west-2, London) with SOC 2 Type II certification</w:t>
      </w:r>
    </w:p>
    <w:p w14:paraId="2F3A9A43" w14:textId="77777777" w:rsidR="007B42CD" w:rsidRDefault="00000000" w:rsidP="00E957F3">
      <w:pPr>
        <w:pStyle w:val="ListParagraph"/>
        <w:numPr>
          <w:ilvl w:val="0"/>
          <w:numId w:val="9"/>
        </w:numPr>
        <w:spacing w:after="80" w:line="276" w:lineRule="auto"/>
      </w:pPr>
      <w:r>
        <w:t>Endpoint protection includes EDR and antivirus on all development and administrative devices</w:t>
      </w:r>
    </w:p>
    <w:p w14:paraId="763CD1E8" w14:textId="77777777" w:rsidR="007B42CD" w:rsidRDefault="00000000" w:rsidP="00E957F3">
      <w:pPr>
        <w:pStyle w:val="ListParagraph"/>
        <w:numPr>
          <w:ilvl w:val="0"/>
          <w:numId w:val="9"/>
        </w:numPr>
        <w:spacing w:after="80" w:line="276" w:lineRule="auto"/>
      </w:pPr>
      <w:r>
        <w:t>Student Radar holds Cyber Essentials certification (awarded 20 February 2026)</w:t>
      </w:r>
    </w:p>
    <w:p w14:paraId="164D9BC2" w14:textId="77777777" w:rsidR="007B42CD" w:rsidRDefault="00000000" w:rsidP="00E957F3">
      <w:pPr>
        <w:pStyle w:val="ListParagraph"/>
        <w:numPr>
          <w:ilvl w:val="0"/>
          <w:numId w:val="9"/>
        </w:numPr>
        <w:spacing w:after="80" w:line="276" w:lineRule="auto"/>
      </w:pPr>
      <w:r>
        <w:t>Regular penetration testing is conducted (automated scanning plus annual external assessment)</w:t>
      </w:r>
    </w:p>
    <w:p w14:paraId="3A5D194C" w14:textId="77777777" w:rsidR="007B42CD" w:rsidRDefault="00000000" w:rsidP="00E957F3">
      <w:pPr>
        <w:pStyle w:val="ListParagraph"/>
        <w:numPr>
          <w:ilvl w:val="0"/>
          <w:numId w:val="9"/>
        </w:numPr>
        <w:spacing w:after="80" w:line="276" w:lineRule="auto"/>
      </w:pPr>
      <w:r>
        <w:t>Security incidents are managed under the Incident Response Policy with defined classification, escalation, and notification procedures</w:t>
      </w:r>
    </w:p>
    <w:p w14:paraId="20A05ED0" w14:textId="77777777" w:rsidR="007B42CD" w:rsidRDefault="00000000">
      <w:pPr>
        <w:pStyle w:val="Heading2"/>
      </w:pPr>
      <w:r>
        <w:t>6.7 Accountability (Article 5(2))</w:t>
      </w:r>
    </w:p>
    <w:p w14:paraId="4362221C" w14:textId="77777777" w:rsidR="007B42CD" w:rsidRDefault="00000000" w:rsidP="00E957F3">
      <w:pPr>
        <w:pStyle w:val="ListParagraph"/>
        <w:numPr>
          <w:ilvl w:val="0"/>
          <w:numId w:val="10"/>
        </w:numPr>
        <w:spacing w:after="80" w:line="276" w:lineRule="auto"/>
      </w:pPr>
      <w:r>
        <w:t>This APD documents the policies and procedures in place to ensure compliance</w:t>
      </w:r>
    </w:p>
    <w:p w14:paraId="26C37021" w14:textId="77777777" w:rsidR="007B42CD" w:rsidRDefault="00000000" w:rsidP="00E957F3">
      <w:pPr>
        <w:pStyle w:val="ListParagraph"/>
        <w:numPr>
          <w:ilvl w:val="0"/>
          <w:numId w:val="10"/>
        </w:numPr>
        <w:spacing w:after="80" w:line="276" w:lineRule="auto"/>
      </w:pPr>
      <w:r>
        <w:t>A Data Protection Impact Assessment (DPIA) has been completed and is reviewed annually</w:t>
      </w:r>
    </w:p>
    <w:p w14:paraId="32B1614E" w14:textId="77777777" w:rsidR="007B42CD" w:rsidRDefault="00000000" w:rsidP="00E957F3">
      <w:pPr>
        <w:pStyle w:val="ListParagraph"/>
        <w:numPr>
          <w:ilvl w:val="0"/>
          <w:numId w:val="10"/>
        </w:numPr>
        <w:spacing w:after="80" w:line="276" w:lineRule="auto"/>
      </w:pPr>
      <w:r>
        <w:t>Processing activities are recorded in a Record of Processing Activities (ROPA)</w:t>
      </w:r>
    </w:p>
    <w:p w14:paraId="59EEB378" w14:textId="77777777" w:rsidR="007B42CD" w:rsidRDefault="00000000" w:rsidP="00E957F3">
      <w:pPr>
        <w:pStyle w:val="ListParagraph"/>
        <w:numPr>
          <w:ilvl w:val="0"/>
          <w:numId w:val="10"/>
        </w:numPr>
        <w:spacing w:after="80" w:line="276" w:lineRule="auto"/>
      </w:pPr>
      <w:r>
        <w:t>Staff receive data protection training, with additional safeguarding-specific training for roles handling special category data</w:t>
      </w:r>
    </w:p>
    <w:p w14:paraId="3567DD08" w14:textId="77777777" w:rsidR="007B42CD" w:rsidRDefault="00000000" w:rsidP="00E957F3">
      <w:pPr>
        <w:pStyle w:val="ListParagraph"/>
        <w:numPr>
          <w:ilvl w:val="0"/>
          <w:numId w:val="10"/>
        </w:numPr>
        <w:spacing w:after="80" w:line="276" w:lineRule="auto"/>
      </w:pPr>
      <w:r>
        <w:t>The Data Protection Lead is responsible for monitoring compliance and is the primary contact for data protection queries</w:t>
      </w:r>
    </w:p>
    <w:p w14:paraId="6C975EF6" w14:textId="77777777" w:rsidR="007B42CD" w:rsidRDefault="00000000" w:rsidP="00E957F3">
      <w:pPr>
        <w:pStyle w:val="ListParagraph"/>
        <w:numPr>
          <w:ilvl w:val="0"/>
          <w:numId w:val="10"/>
        </w:numPr>
        <w:spacing w:after="80" w:line="276" w:lineRule="auto"/>
      </w:pPr>
      <w:r>
        <w:t>All sub-processors are engaged under data processing agreements with equivalent protections, and are listed in the Sub-Processor List</w:t>
      </w:r>
    </w:p>
    <w:p w14:paraId="0622E228" w14:textId="77777777" w:rsidR="007B42CD" w:rsidRDefault="00000000">
      <w:pPr>
        <w:pStyle w:val="Heading1"/>
      </w:pPr>
      <w:r>
        <w:t>7. Procedures for Securing Compliance</w:t>
      </w:r>
    </w:p>
    <w:p w14:paraId="034AC378" w14:textId="77777777" w:rsidR="007B42CD" w:rsidRDefault="00000000">
      <w:pPr>
        <w:spacing w:after="160" w:line="276" w:lineRule="auto"/>
      </w:pPr>
      <w:r>
        <w:t>The following procedures are in place to secure compliance with the data protection principles when processing special category data:</w:t>
      </w:r>
    </w:p>
    <w:p w14:paraId="66398924" w14:textId="77777777" w:rsidR="007B42CD" w:rsidRDefault="00000000">
      <w:pPr>
        <w:pStyle w:val="Heading2"/>
      </w:pPr>
      <w:r>
        <w:t>7.1 Access Controls</w:t>
      </w:r>
    </w:p>
    <w:p w14:paraId="484F0CE9" w14:textId="77777777" w:rsidR="007B42CD" w:rsidRDefault="00000000" w:rsidP="00E957F3">
      <w:pPr>
        <w:pStyle w:val="ListParagraph"/>
        <w:numPr>
          <w:ilvl w:val="0"/>
          <w:numId w:val="11"/>
        </w:numPr>
        <w:spacing w:after="80" w:line="276" w:lineRule="auto"/>
      </w:pPr>
      <w:r>
        <w:lastRenderedPageBreak/>
        <w:t>Role-based access control (RBAC) restricts access to special category data based on job function</w:t>
      </w:r>
    </w:p>
    <w:p w14:paraId="1BAF2788" w14:textId="77777777" w:rsidR="007B42CD" w:rsidRDefault="00000000" w:rsidP="00E957F3">
      <w:pPr>
        <w:pStyle w:val="ListParagraph"/>
        <w:numPr>
          <w:ilvl w:val="0"/>
          <w:numId w:val="11"/>
        </w:numPr>
        <w:spacing w:after="80" w:line="276" w:lineRule="auto"/>
      </w:pPr>
      <w:r>
        <w:t>Database-level Row-Level Security (RLS) enforced via JWT claims prevents cross-school data access</w:t>
      </w:r>
    </w:p>
    <w:p w14:paraId="298C3A90" w14:textId="77777777" w:rsidR="007B42CD" w:rsidRDefault="00000000" w:rsidP="00E957F3">
      <w:pPr>
        <w:pStyle w:val="ListParagraph"/>
        <w:numPr>
          <w:ilvl w:val="0"/>
          <w:numId w:val="11"/>
        </w:numPr>
        <w:spacing w:after="80" w:line="276" w:lineRule="auto"/>
      </w:pPr>
      <w:r>
        <w:t>Multi-factor authentication is mandatory for all staff accounts</w:t>
      </w:r>
    </w:p>
    <w:p w14:paraId="03AF7BF6" w14:textId="77777777" w:rsidR="007B42CD" w:rsidRDefault="00000000" w:rsidP="00E957F3">
      <w:pPr>
        <w:pStyle w:val="ListParagraph"/>
        <w:numPr>
          <w:ilvl w:val="0"/>
          <w:numId w:val="11"/>
        </w:numPr>
        <w:spacing w:after="80" w:line="276" w:lineRule="auto"/>
      </w:pPr>
      <w:r>
        <w:t>Access to safeguarding records is further restricted to designated safeguarding personnel within each school</w:t>
      </w:r>
    </w:p>
    <w:p w14:paraId="7E333114" w14:textId="77777777" w:rsidR="007B42CD" w:rsidRDefault="00000000" w:rsidP="00E957F3">
      <w:pPr>
        <w:pStyle w:val="ListParagraph"/>
        <w:numPr>
          <w:ilvl w:val="0"/>
          <w:numId w:val="11"/>
        </w:numPr>
        <w:spacing w:after="80" w:line="276" w:lineRule="auto"/>
      </w:pPr>
      <w:r>
        <w:t>Administrative access to production systems is limited to named individuals with MFA-protected accounts</w:t>
      </w:r>
    </w:p>
    <w:p w14:paraId="0CEECC9F" w14:textId="77777777" w:rsidR="007B42CD" w:rsidRDefault="00000000" w:rsidP="00E957F3">
      <w:pPr>
        <w:pStyle w:val="ListParagraph"/>
        <w:numPr>
          <w:ilvl w:val="0"/>
          <w:numId w:val="11"/>
        </w:numPr>
        <w:spacing w:after="80" w:line="276" w:lineRule="auto"/>
      </w:pPr>
      <w:r>
        <w:t>Access logs are maintained and reviewed for anomalous access patterns</w:t>
      </w:r>
    </w:p>
    <w:p w14:paraId="402CA915" w14:textId="77777777" w:rsidR="007B42CD" w:rsidRDefault="00000000">
      <w:pPr>
        <w:pStyle w:val="Heading2"/>
      </w:pPr>
      <w:r>
        <w:t>7.2 Data Handling Procedures</w:t>
      </w:r>
    </w:p>
    <w:p w14:paraId="0C5F62C0" w14:textId="77777777" w:rsidR="007B42CD" w:rsidRDefault="00000000" w:rsidP="00E957F3">
      <w:pPr>
        <w:pStyle w:val="ListParagraph"/>
        <w:numPr>
          <w:ilvl w:val="0"/>
          <w:numId w:val="12"/>
        </w:numPr>
        <w:spacing w:after="80" w:line="276" w:lineRule="auto"/>
      </w:pPr>
      <w:r>
        <w:t>Special category data is never stored on local devices; all processing occurs within the secure Platform infrastructure</w:t>
      </w:r>
    </w:p>
    <w:p w14:paraId="425C043E" w14:textId="77777777" w:rsidR="007B42CD" w:rsidRDefault="00000000" w:rsidP="00E957F3">
      <w:pPr>
        <w:pStyle w:val="ListParagraph"/>
        <w:numPr>
          <w:ilvl w:val="0"/>
          <w:numId w:val="12"/>
        </w:numPr>
        <w:spacing w:after="80" w:line="276" w:lineRule="auto"/>
      </w:pPr>
      <w:r>
        <w:t>Data exports containing special category data are restricted and logged</w:t>
      </w:r>
    </w:p>
    <w:p w14:paraId="5F1B839B" w14:textId="77777777" w:rsidR="007B42CD" w:rsidRDefault="00000000" w:rsidP="00E957F3">
      <w:pPr>
        <w:pStyle w:val="ListParagraph"/>
        <w:numPr>
          <w:ilvl w:val="0"/>
          <w:numId w:val="12"/>
        </w:numPr>
        <w:spacing w:after="80" w:line="276" w:lineRule="auto"/>
      </w:pPr>
      <w:r>
        <w:t>AI features that process special category data use tokenised inputs; raw personal data is not transmitted to external AI services</w:t>
      </w:r>
    </w:p>
    <w:p w14:paraId="3D94BD48" w14:textId="77777777" w:rsidR="007B42CD" w:rsidRDefault="00000000" w:rsidP="00E957F3">
      <w:pPr>
        <w:pStyle w:val="ListParagraph"/>
        <w:numPr>
          <w:ilvl w:val="0"/>
          <w:numId w:val="12"/>
        </w:numPr>
        <w:spacing w:after="80" w:line="276" w:lineRule="auto"/>
      </w:pPr>
      <w:r>
        <w:t>Webhooks from school MIS integrations use HMAC-SHA256 authentication to ensure data integrity</w:t>
      </w:r>
    </w:p>
    <w:p w14:paraId="0E2E432F" w14:textId="77777777" w:rsidR="007B42CD" w:rsidRDefault="00000000" w:rsidP="00E957F3">
      <w:pPr>
        <w:pStyle w:val="ListParagraph"/>
        <w:numPr>
          <w:ilvl w:val="0"/>
          <w:numId w:val="12"/>
        </w:numPr>
        <w:spacing w:after="80" w:line="276" w:lineRule="auto"/>
      </w:pPr>
      <w:r>
        <w:t>Honey tokens are deployed to detect unauthorised access to sensitive data stores</w:t>
      </w:r>
    </w:p>
    <w:p w14:paraId="1FD41541" w14:textId="77777777" w:rsidR="007B42CD" w:rsidRDefault="00000000">
      <w:pPr>
        <w:pStyle w:val="Heading2"/>
      </w:pPr>
      <w:r>
        <w:t>7.3 Staff Training and Awareness</w:t>
      </w:r>
    </w:p>
    <w:p w14:paraId="2640146A" w14:textId="77777777" w:rsidR="007B42CD" w:rsidRDefault="00000000" w:rsidP="00E957F3">
      <w:pPr>
        <w:pStyle w:val="ListParagraph"/>
        <w:numPr>
          <w:ilvl w:val="0"/>
          <w:numId w:val="13"/>
        </w:numPr>
        <w:spacing w:after="80" w:line="276" w:lineRule="auto"/>
      </w:pPr>
      <w:r>
        <w:t>All staff complete data protection training on induction and annually thereafter</w:t>
      </w:r>
    </w:p>
    <w:p w14:paraId="035BEA06" w14:textId="77777777" w:rsidR="007B42CD" w:rsidRDefault="00000000" w:rsidP="00E957F3">
      <w:pPr>
        <w:pStyle w:val="ListParagraph"/>
        <w:numPr>
          <w:ilvl w:val="0"/>
          <w:numId w:val="13"/>
        </w:numPr>
        <w:spacing w:after="80" w:line="276" w:lineRule="auto"/>
      </w:pPr>
      <w:r>
        <w:t>Staff with access to special category data receive additional training on the handling of sensitive data, safeguarding obligations, and breach reporting</w:t>
      </w:r>
    </w:p>
    <w:p w14:paraId="782D8E8A" w14:textId="77777777" w:rsidR="007B42CD" w:rsidRDefault="00000000" w:rsidP="00E957F3">
      <w:pPr>
        <w:pStyle w:val="ListParagraph"/>
        <w:numPr>
          <w:ilvl w:val="0"/>
          <w:numId w:val="13"/>
        </w:numPr>
        <w:spacing w:after="80" w:line="276" w:lineRule="auto"/>
      </w:pPr>
      <w:r>
        <w:t>Training records are maintained and compliance is monitored</w:t>
      </w:r>
    </w:p>
    <w:p w14:paraId="06C24457" w14:textId="77777777" w:rsidR="007B42CD" w:rsidRDefault="00000000">
      <w:pPr>
        <w:pStyle w:val="Heading2"/>
      </w:pPr>
      <w:r>
        <w:t>7.4 Incident Response</w:t>
      </w:r>
    </w:p>
    <w:p w14:paraId="65C468FD" w14:textId="77777777" w:rsidR="007B42CD" w:rsidRDefault="00000000" w:rsidP="00E957F3">
      <w:pPr>
        <w:pStyle w:val="ListParagraph"/>
        <w:numPr>
          <w:ilvl w:val="0"/>
          <w:numId w:val="14"/>
        </w:numPr>
        <w:spacing w:after="80" w:line="276" w:lineRule="auto"/>
      </w:pPr>
      <w:r>
        <w:t>The Incident Response Policy defines procedures for identifying, classifying, containing, and reporting personal data breaches</w:t>
      </w:r>
    </w:p>
    <w:p w14:paraId="3AFC9245" w14:textId="77777777" w:rsidR="007B42CD" w:rsidRDefault="00000000" w:rsidP="00E957F3">
      <w:pPr>
        <w:pStyle w:val="ListParagraph"/>
        <w:numPr>
          <w:ilvl w:val="0"/>
          <w:numId w:val="14"/>
        </w:numPr>
        <w:spacing w:after="80" w:line="276" w:lineRule="auto"/>
      </w:pPr>
      <w:r>
        <w:t>Safeguarding incidents default to Priority 1 (P1) classification unless clearly demonstrated otherwise</w:t>
      </w:r>
    </w:p>
    <w:p w14:paraId="06842B2D" w14:textId="77777777" w:rsidR="007B42CD" w:rsidRDefault="00000000" w:rsidP="00E957F3">
      <w:pPr>
        <w:pStyle w:val="ListParagraph"/>
        <w:numPr>
          <w:ilvl w:val="0"/>
          <w:numId w:val="14"/>
        </w:numPr>
        <w:spacing w:after="80" w:line="276" w:lineRule="auto"/>
      </w:pPr>
      <w:r>
        <w:t>The Customer (school) is notified within 24 hours of a confirmed breach, or as soon as reasonably practicable</w:t>
      </w:r>
    </w:p>
    <w:p w14:paraId="1779031D" w14:textId="77777777" w:rsidR="007B42CD" w:rsidRDefault="00000000" w:rsidP="00E957F3">
      <w:pPr>
        <w:pStyle w:val="ListParagraph"/>
        <w:numPr>
          <w:ilvl w:val="0"/>
          <w:numId w:val="14"/>
        </w:numPr>
        <w:spacing w:after="80" w:line="276" w:lineRule="auto"/>
      </w:pPr>
      <w:r>
        <w:t>The ICO is notified within 72 hours where the breach is likely to result in a risk to the rights and freedoms of individuals</w:t>
      </w:r>
    </w:p>
    <w:p w14:paraId="187937FE" w14:textId="77777777" w:rsidR="007B42CD" w:rsidRDefault="00000000" w:rsidP="00E957F3">
      <w:pPr>
        <w:pStyle w:val="ListParagraph"/>
        <w:numPr>
          <w:ilvl w:val="0"/>
          <w:numId w:val="14"/>
        </w:numPr>
        <w:spacing w:after="80" w:line="276" w:lineRule="auto"/>
      </w:pPr>
      <w:r>
        <w:t>Post-incident reviews are conducted and lessons learned are documented</w:t>
      </w:r>
    </w:p>
    <w:p w14:paraId="7D65D78C" w14:textId="77777777" w:rsidR="007B42CD" w:rsidRDefault="00000000">
      <w:pPr>
        <w:pStyle w:val="Heading2"/>
      </w:pPr>
      <w:r>
        <w:t>7.5 Sub-Processor Management</w:t>
      </w:r>
    </w:p>
    <w:p w14:paraId="470B129D" w14:textId="77777777" w:rsidR="007B42CD" w:rsidRDefault="00000000" w:rsidP="00E957F3">
      <w:pPr>
        <w:pStyle w:val="ListParagraph"/>
        <w:numPr>
          <w:ilvl w:val="0"/>
          <w:numId w:val="15"/>
        </w:numPr>
        <w:spacing w:after="80" w:line="276" w:lineRule="auto"/>
      </w:pPr>
      <w:r>
        <w:lastRenderedPageBreak/>
        <w:t>All sub-processors are engaged under data processing agreements imposing equivalent obligations</w:t>
      </w:r>
    </w:p>
    <w:p w14:paraId="0ED5FB83" w14:textId="77777777" w:rsidR="007B42CD" w:rsidRDefault="00000000" w:rsidP="00E957F3">
      <w:pPr>
        <w:pStyle w:val="ListParagraph"/>
        <w:numPr>
          <w:ilvl w:val="0"/>
          <w:numId w:val="15"/>
        </w:numPr>
        <w:spacing w:after="80" w:line="276" w:lineRule="auto"/>
      </w:pPr>
      <w:r>
        <w:t>Due diligence assessments are conducted before engagement and reviewed annually</w:t>
      </w:r>
    </w:p>
    <w:p w14:paraId="421E8856" w14:textId="77777777" w:rsidR="007B42CD" w:rsidRDefault="00000000" w:rsidP="00E957F3">
      <w:pPr>
        <w:pStyle w:val="ListParagraph"/>
        <w:numPr>
          <w:ilvl w:val="0"/>
          <w:numId w:val="15"/>
        </w:numPr>
        <w:spacing w:after="80" w:line="276" w:lineRule="auto"/>
      </w:pPr>
      <w:r>
        <w:t>Customers are notified at least 30 days before any change to sub-processor arrangements and may exercise objection rights</w:t>
      </w:r>
    </w:p>
    <w:p w14:paraId="28612A7A" w14:textId="77777777" w:rsidR="007B42CD" w:rsidRDefault="00000000" w:rsidP="00E957F3">
      <w:pPr>
        <w:pStyle w:val="ListParagraph"/>
        <w:numPr>
          <w:ilvl w:val="0"/>
          <w:numId w:val="15"/>
        </w:numPr>
        <w:spacing w:after="80" w:line="276" w:lineRule="auto"/>
      </w:pPr>
      <w:r>
        <w:t>The Sub-Processor List is maintained and made available to all Customers</w:t>
      </w:r>
    </w:p>
    <w:p w14:paraId="32A75EFE" w14:textId="77777777" w:rsidR="007B42CD" w:rsidRDefault="00000000">
      <w:pPr>
        <w:pStyle w:val="Heading1"/>
      </w:pPr>
      <w:r>
        <w:t>8. Retention and Erasure of Special Category Data</w:t>
      </w:r>
    </w:p>
    <w:p w14:paraId="59F3F37D" w14:textId="77777777" w:rsidR="007B42CD" w:rsidRDefault="00000000">
      <w:pPr>
        <w:spacing w:after="160" w:line="276" w:lineRule="auto"/>
      </w:pPr>
      <w:r>
        <w:t>Special category data is retained and erased in accordance with the Data Retention Policy. The following retention periods apply specifically to special category data: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026"/>
        <w:gridCol w:w="3500"/>
      </w:tblGrid>
      <w:tr w:rsidR="007B42CD" w14:paraId="2932A24A" w14:textId="77777777">
        <w:tblPrEx>
          <w:tblCellMar>
            <w:top w:w="0" w:type="dxa"/>
            <w:bottom w:w="0" w:type="dxa"/>
          </w:tblCellMar>
        </w:tblPrEx>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ED0EB9B" w14:textId="77777777" w:rsidR="007B42CD" w:rsidRDefault="00000000">
            <w:r>
              <w:rPr>
                <w:b/>
                <w:bCs/>
                <w:color w:val="FFFFFF"/>
              </w:rPr>
              <w:t>Data Category</w:t>
            </w:r>
          </w:p>
        </w:tc>
        <w:tc>
          <w:tcPr>
            <w:tcW w:w="3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FEB9A69" w14:textId="77777777" w:rsidR="007B42CD" w:rsidRDefault="00000000">
            <w:r>
              <w:rPr>
                <w:b/>
                <w:bCs/>
                <w:color w:val="FFFFFF"/>
              </w:rPr>
              <w:t>Retention Period</w:t>
            </w:r>
          </w:p>
        </w:tc>
        <w:tc>
          <w:tcPr>
            <w:tcW w:w="3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C8F86C8" w14:textId="77777777" w:rsidR="007B42CD" w:rsidRDefault="00000000">
            <w:r>
              <w:rPr>
                <w:b/>
                <w:bCs/>
                <w:color w:val="FFFFFF"/>
              </w:rPr>
              <w:t>Basis</w:t>
            </w:r>
          </w:p>
        </w:tc>
      </w:tr>
      <w:tr w:rsidR="007B42CD" w14:paraId="78FDBACC"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88BF7C" w14:textId="77777777" w:rsidR="007B42CD" w:rsidRDefault="00000000">
            <w:r>
              <w:rPr>
                <w:color w:val="333333"/>
              </w:rPr>
              <w:t>SEND records (SEN status, EHC plan data, provision maps, IEP records)</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26C048" w14:textId="77777777" w:rsidR="007B42CD" w:rsidRDefault="00000000">
            <w:r>
              <w:rPr>
                <w:color w:val="333333"/>
              </w:rPr>
              <w:t>Duration of service agreement plus up to 30 days (earlier deletion on request)</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AB4187" w14:textId="77777777" w:rsidR="007B42CD" w:rsidRDefault="00000000">
            <w:r>
              <w:rPr>
                <w:color w:val="333333"/>
              </w:rPr>
              <w:t>Required for ongoing SEND management; deleted on termination</w:t>
            </w:r>
          </w:p>
        </w:tc>
      </w:tr>
      <w:tr w:rsidR="007B42CD" w14:paraId="5A4EFD0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F40D62" w14:textId="77777777" w:rsidR="007B42CD" w:rsidRDefault="00000000">
            <w:r>
              <w:rPr>
                <w:color w:val="333333"/>
              </w:rPr>
              <w:t>Safeguarding records and welfare notes</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B24A63" w14:textId="77777777" w:rsidR="007B42CD" w:rsidRDefault="00000000">
            <w:r>
              <w:rPr>
                <w:color w:val="333333"/>
              </w:rPr>
              <w:t>Duration of service agreement plus up to 30 days (earlier deletion on request). Statutory safeguarding records are not deleted without prior Customer consultation</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DC6D04" w14:textId="77777777" w:rsidR="007B42CD" w:rsidRDefault="00000000">
            <w:r>
              <w:rPr>
                <w:color w:val="333333"/>
              </w:rPr>
              <w:t xml:space="preserve">Statutory safeguarding </w:t>
            </w:r>
            <w:proofErr w:type="gramStart"/>
            <w:r>
              <w:rPr>
                <w:color w:val="333333"/>
              </w:rPr>
              <w:t>duties;</w:t>
            </w:r>
            <w:proofErr w:type="gramEnd"/>
            <w:r>
              <w:rPr>
                <w:color w:val="333333"/>
              </w:rPr>
              <w:t xml:space="preserve"> schools retain primary copies</w:t>
            </w:r>
          </w:p>
        </w:tc>
      </w:tr>
      <w:tr w:rsidR="007B42CD" w14:paraId="1783E5A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4D054D" w14:textId="77777777" w:rsidR="007B42CD" w:rsidRDefault="00000000">
            <w:r>
              <w:rPr>
                <w:color w:val="333333"/>
              </w:rPr>
              <w:t>Health data (medical conditions, therapy records)</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D13110" w14:textId="77777777" w:rsidR="007B42CD" w:rsidRDefault="00000000">
            <w:r>
              <w:rPr>
                <w:color w:val="333333"/>
              </w:rPr>
              <w:t>Duration of service agreement plus up to 30 days (earlier deletion on request)</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5427B3" w14:textId="77777777" w:rsidR="007B42CD" w:rsidRDefault="00000000">
            <w:r>
              <w:rPr>
                <w:color w:val="333333"/>
              </w:rPr>
              <w:t>Necessary for SEND provision and welfare support</w:t>
            </w:r>
          </w:p>
        </w:tc>
      </w:tr>
      <w:tr w:rsidR="007B42CD" w14:paraId="5D2CA8D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0E1986" w14:textId="77777777" w:rsidR="007B42CD" w:rsidRDefault="00000000">
            <w:r>
              <w:rPr>
                <w:color w:val="333333"/>
              </w:rPr>
              <w:t>Ethnicity and religion data</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F60C0F" w14:textId="77777777" w:rsidR="007B42CD" w:rsidRDefault="00000000">
            <w:r>
              <w:rPr>
                <w:color w:val="333333"/>
              </w:rPr>
              <w:t>Duration of service agreement plus up to 30 days (earlier deletion on request)</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39883E" w14:textId="77777777" w:rsidR="007B42CD" w:rsidRDefault="00000000">
            <w:r>
              <w:rPr>
                <w:color w:val="333333"/>
              </w:rPr>
              <w:t>Used for contextual analysis of SEND provision only</w:t>
            </w:r>
          </w:p>
        </w:tc>
      </w:tr>
      <w:tr w:rsidR="007B42CD" w14:paraId="6A58520B"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55EC64" w14:textId="77777777" w:rsidR="007B42CD" w:rsidRDefault="00000000">
            <w:r>
              <w:rPr>
                <w:color w:val="333333"/>
              </w:rPr>
              <w:t>Criminal offence data in safeguarding records</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5A7938" w14:textId="77777777" w:rsidR="007B42CD" w:rsidRDefault="00000000">
            <w:r>
              <w:rPr>
                <w:color w:val="333333"/>
              </w:rPr>
              <w:t>Duration of service agreement plus up to 30 days (earlier deletion on request). Subject to safeguarding record protections</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E9185C" w14:textId="77777777" w:rsidR="007B42CD" w:rsidRDefault="00000000">
            <w:r>
              <w:rPr>
                <w:color w:val="333333"/>
              </w:rPr>
              <w:t>Statutory safeguarding duties</w:t>
            </w:r>
          </w:p>
        </w:tc>
      </w:tr>
      <w:tr w:rsidR="007B42CD" w14:paraId="21C74B1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505AEB" w14:textId="77777777" w:rsidR="007B42CD" w:rsidRDefault="00000000">
            <w:r>
              <w:rPr>
                <w:color w:val="333333"/>
              </w:rPr>
              <w:t>AI-generated outputs referencing special category data</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ABCCAED" w14:textId="77777777" w:rsidR="007B42CD" w:rsidRDefault="00000000">
            <w:r>
              <w:rPr>
                <w:color w:val="333333"/>
              </w:rPr>
              <w:t>Duration of service agreement plus up to 30 days (earlier deletion on request)</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C1D2F8" w14:textId="77777777" w:rsidR="007B42CD" w:rsidRDefault="00000000">
            <w:r>
              <w:rPr>
                <w:color w:val="333333"/>
              </w:rPr>
              <w:t>Advisory outputs only; no independent lawful basis for extended retention</w:t>
            </w:r>
          </w:p>
        </w:tc>
      </w:tr>
      <w:tr w:rsidR="007B42CD" w14:paraId="05E8FFBF"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986068" w14:textId="77777777" w:rsidR="007B42CD" w:rsidRDefault="00000000">
            <w:r>
              <w:rPr>
                <w:color w:val="333333"/>
              </w:rPr>
              <w:t>Anonymised statistical data derived from special category data</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B778AE" w14:textId="77777777" w:rsidR="007B42CD" w:rsidRDefault="00000000">
            <w:r>
              <w:rPr>
                <w:color w:val="333333"/>
              </w:rPr>
              <w:t>Retained indefinitely (irreversibly anonymised; no longer personal data)</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9D91A4" w14:textId="77777777" w:rsidR="007B42CD" w:rsidRDefault="00000000">
            <w:r>
              <w:rPr>
                <w:color w:val="333333"/>
              </w:rPr>
              <w:t>Statistical analysis of SEND outcomes. Re-identification risk assessed and excluded</w:t>
            </w:r>
          </w:p>
        </w:tc>
      </w:tr>
      <w:tr w:rsidR="007B42CD" w14:paraId="10786DB2"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A7FA95" w14:textId="77777777" w:rsidR="007B42CD" w:rsidRDefault="00000000">
            <w:r>
              <w:rPr>
                <w:color w:val="333333"/>
              </w:rPr>
              <w:t>Encrypted backups containing special category data</w:t>
            </w:r>
          </w:p>
        </w:tc>
        <w:tc>
          <w:tcPr>
            <w:tcW w:w="3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4508D0" w14:textId="77777777" w:rsidR="007B42CD" w:rsidRDefault="00000000">
            <w:r>
              <w:rPr>
                <w:color w:val="333333"/>
              </w:rPr>
              <w:t>Up to 13 months (reflects maximum technical lifecycle of encrypted rolling backups)</w:t>
            </w:r>
          </w:p>
        </w:tc>
        <w:tc>
          <w:tcPr>
            <w:tcW w:w="3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6FCF81" w14:textId="77777777" w:rsidR="007B42CD" w:rsidRDefault="00000000">
            <w:r>
              <w:rPr>
                <w:color w:val="333333"/>
              </w:rPr>
              <w:t>Disaster recovery. Encrypted at rest; access restricted and protected by MFA</w:t>
            </w:r>
          </w:p>
        </w:tc>
      </w:tr>
    </w:tbl>
    <w:p w14:paraId="7714F35E" w14:textId="77777777" w:rsidR="007B42CD" w:rsidRDefault="007B42CD">
      <w:pPr>
        <w:spacing w:after="200"/>
      </w:pPr>
    </w:p>
    <w:p w14:paraId="79C955B4" w14:textId="77777777" w:rsidR="007B42CD" w:rsidRDefault="00000000">
      <w:pPr>
        <w:spacing w:after="160" w:line="276" w:lineRule="auto"/>
      </w:pPr>
      <w:r>
        <w:lastRenderedPageBreak/>
        <w:t>On termination of the service agreement, all special category data is deleted within 30 days. Written confirmation of deletion is provided to the Customer. The school (as data controller) is responsible for retaining its own copies in accordance with its own retention schedule and statutory obligations.</w:t>
      </w:r>
    </w:p>
    <w:p w14:paraId="3BE9E4A2" w14:textId="77777777" w:rsidR="007B42CD" w:rsidRDefault="00000000">
      <w:pPr>
        <w:pStyle w:val="Heading1"/>
      </w:pPr>
      <w:r>
        <w:t>9. Data Subject Rights</w:t>
      </w:r>
    </w:p>
    <w:p w14:paraId="16F4F9A4" w14:textId="77777777" w:rsidR="007B42CD" w:rsidRDefault="00000000">
      <w:pPr>
        <w:spacing w:after="160" w:line="276" w:lineRule="auto"/>
      </w:pPr>
      <w:r>
        <w:t>Data subjects (or their parents/carers where the data subject is a child) retain all rights under the UK GDPR in relation to their special category data, including:</w:t>
      </w:r>
    </w:p>
    <w:p w14:paraId="4F19B370" w14:textId="77777777" w:rsidR="007B42CD" w:rsidRDefault="00000000" w:rsidP="00E957F3">
      <w:pPr>
        <w:pStyle w:val="ListParagraph"/>
        <w:numPr>
          <w:ilvl w:val="0"/>
          <w:numId w:val="16"/>
        </w:numPr>
        <w:spacing w:after="80" w:line="276" w:lineRule="auto"/>
      </w:pPr>
      <w:r w:rsidRPr="00E957F3">
        <w:rPr>
          <w:b/>
          <w:bCs/>
        </w:rPr>
        <w:t xml:space="preserve">Right of access (Article 15): </w:t>
      </w:r>
      <w:r>
        <w:t>Data subjects may request access to their personal data. Requests received by Student Radar are forwarded to the relevant school (as data controller) for response. Student Radar provides technical assistance to the school in extracting the data</w:t>
      </w:r>
    </w:p>
    <w:p w14:paraId="2805A5A2" w14:textId="77777777" w:rsidR="007B42CD" w:rsidRDefault="00000000" w:rsidP="00E957F3">
      <w:pPr>
        <w:pStyle w:val="ListParagraph"/>
        <w:numPr>
          <w:ilvl w:val="0"/>
          <w:numId w:val="16"/>
        </w:numPr>
        <w:spacing w:after="80" w:line="276" w:lineRule="auto"/>
      </w:pPr>
      <w:r w:rsidRPr="00E957F3">
        <w:rPr>
          <w:b/>
          <w:bCs/>
        </w:rPr>
        <w:t xml:space="preserve">Right to rectification (Article 16): </w:t>
      </w:r>
      <w:r>
        <w:t>Data subjects may request correction of inaccurate data. Schools can update data directly in the Platform or via their MIS</w:t>
      </w:r>
    </w:p>
    <w:p w14:paraId="7BAFF870" w14:textId="77777777" w:rsidR="007B42CD" w:rsidRDefault="00000000" w:rsidP="00E957F3">
      <w:pPr>
        <w:pStyle w:val="ListParagraph"/>
        <w:numPr>
          <w:ilvl w:val="0"/>
          <w:numId w:val="16"/>
        </w:numPr>
        <w:spacing w:after="80" w:line="276" w:lineRule="auto"/>
      </w:pPr>
      <w:r w:rsidRPr="00E957F3">
        <w:rPr>
          <w:b/>
          <w:bCs/>
        </w:rPr>
        <w:t xml:space="preserve">Right to erasure (Article 17): </w:t>
      </w:r>
      <w:r>
        <w:t>Data subjects may request erasure of their data, subject to exceptions for statutory obligations (including safeguarding). Erasure requests are processed in coordination with the school</w:t>
      </w:r>
    </w:p>
    <w:p w14:paraId="28DAD08F" w14:textId="77777777" w:rsidR="007B42CD" w:rsidRDefault="00000000" w:rsidP="00E957F3">
      <w:pPr>
        <w:pStyle w:val="ListParagraph"/>
        <w:numPr>
          <w:ilvl w:val="0"/>
          <w:numId w:val="16"/>
        </w:numPr>
        <w:spacing w:after="80" w:line="276" w:lineRule="auto"/>
      </w:pPr>
      <w:r w:rsidRPr="00E957F3">
        <w:rPr>
          <w:b/>
          <w:bCs/>
        </w:rPr>
        <w:t xml:space="preserve">Right to restriction of processing (Article 18): </w:t>
      </w:r>
      <w:r>
        <w:t>Data subjects may request that processing of their data be restricted. Student Radar supports this technically by enabling schools to flag records for restricted processing</w:t>
      </w:r>
    </w:p>
    <w:p w14:paraId="6D7FB8C4" w14:textId="77777777" w:rsidR="007B42CD" w:rsidRDefault="00000000" w:rsidP="00E957F3">
      <w:pPr>
        <w:pStyle w:val="ListParagraph"/>
        <w:numPr>
          <w:ilvl w:val="0"/>
          <w:numId w:val="16"/>
        </w:numPr>
        <w:spacing w:after="80" w:line="276" w:lineRule="auto"/>
      </w:pPr>
      <w:r w:rsidRPr="00E957F3">
        <w:rPr>
          <w:b/>
          <w:bCs/>
        </w:rPr>
        <w:t xml:space="preserve">Right to data portability (Article 20): </w:t>
      </w:r>
      <w:r>
        <w:t>Where technically feasible, data is provided in a structured, commonly used, and machine-readable format</w:t>
      </w:r>
    </w:p>
    <w:p w14:paraId="57E02798" w14:textId="77777777" w:rsidR="007B42CD" w:rsidRDefault="00000000" w:rsidP="00E957F3">
      <w:pPr>
        <w:pStyle w:val="ListParagraph"/>
        <w:numPr>
          <w:ilvl w:val="0"/>
          <w:numId w:val="16"/>
        </w:numPr>
        <w:spacing w:after="80" w:line="276" w:lineRule="auto"/>
      </w:pPr>
      <w:r w:rsidRPr="00E957F3">
        <w:rPr>
          <w:b/>
          <w:bCs/>
        </w:rPr>
        <w:t xml:space="preserve">Right to object (Article 21): </w:t>
      </w:r>
      <w:r>
        <w:t>Data subjects may object to processing. Objections are handled by the school as controller; Student Radar provides technical support</w:t>
      </w:r>
    </w:p>
    <w:p w14:paraId="4D5BDDBE" w14:textId="77777777" w:rsidR="007B42CD" w:rsidRDefault="00000000">
      <w:pPr>
        <w:spacing w:after="160" w:line="276" w:lineRule="auto"/>
      </w:pPr>
      <w:r>
        <w:t>Student Radar responds to all data subject requests within 48 hours (acknowledging receipt) and works with the school to ensure the substantive response is provided within the statutory one-month period.</w:t>
      </w:r>
    </w:p>
    <w:p w14:paraId="58568E99" w14:textId="77777777" w:rsidR="007B42CD" w:rsidRDefault="00000000">
      <w:pPr>
        <w:pStyle w:val="Heading1"/>
      </w:pPr>
      <w:r>
        <w:t>10. Review and Retention of This Document</w:t>
      </w:r>
    </w:p>
    <w:p w14:paraId="0BA975DA" w14:textId="77777777" w:rsidR="007B42CD" w:rsidRDefault="00000000">
      <w:pPr>
        <w:spacing w:after="160" w:line="276" w:lineRule="auto"/>
      </w:pPr>
      <w:r>
        <w:t>This Appropriate Policy Document is:</w:t>
      </w:r>
    </w:p>
    <w:p w14:paraId="7F1ADFBE" w14:textId="77777777" w:rsidR="007B42CD" w:rsidRDefault="00000000" w:rsidP="00E957F3">
      <w:pPr>
        <w:pStyle w:val="ListParagraph"/>
        <w:numPr>
          <w:ilvl w:val="0"/>
          <w:numId w:val="17"/>
        </w:numPr>
        <w:spacing w:after="80" w:line="276" w:lineRule="auto"/>
      </w:pPr>
      <w:r>
        <w:t>Reviewed annually or whenever there is a material change to the processing of special category data</w:t>
      </w:r>
    </w:p>
    <w:p w14:paraId="45067B07" w14:textId="77777777" w:rsidR="007B42CD" w:rsidRDefault="00000000" w:rsidP="00E957F3">
      <w:pPr>
        <w:pStyle w:val="ListParagraph"/>
        <w:numPr>
          <w:ilvl w:val="0"/>
          <w:numId w:val="17"/>
        </w:numPr>
        <w:spacing w:after="80" w:line="276" w:lineRule="auto"/>
      </w:pPr>
      <w:r>
        <w:t>Updated to reflect changes in processing activities, legal conditions, or regulatory guidance</w:t>
      </w:r>
    </w:p>
    <w:p w14:paraId="24AA90E3" w14:textId="77777777" w:rsidR="007B42CD" w:rsidRDefault="00000000" w:rsidP="00E957F3">
      <w:pPr>
        <w:pStyle w:val="ListParagraph"/>
        <w:numPr>
          <w:ilvl w:val="0"/>
          <w:numId w:val="17"/>
        </w:numPr>
        <w:spacing w:after="80" w:line="276" w:lineRule="auto"/>
      </w:pPr>
      <w:r>
        <w:t>Retained for the duration of the processing to which it relates and for a minimum of six months after processing ceases, in accordance with Schedule 1, Part 4, paragraph 39(3) of the DPA 2018</w:t>
      </w:r>
    </w:p>
    <w:p w14:paraId="3E852A09" w14:textId="77777777" w:rsidR="007B42CD" w:rsidRDefault="00000000" w:rsidP="00E957F3">
      <w:pPr>
        <w:pStyle w:val="ListParagraph"/>
        <w:numPr>
          <w:ilvl w:val="0"/>
          <w:numId w:val="17"/>
        </w:numPr>
        <w:spacing w:after="80" w:line="276" w:lineRule="auto"/>
      </w:pPr>
      <w:r>
        <w:t>Made available to the Information Commissioner’s Office (ICO) on request</w:t>
      </w:r>
    </w:p>
    <w:p w14:paraId="15AA5F62" w14:textId="77777777" w:rsidR="007B42CD" w:rsidRDefault="00000000" w:rsidP="00E957F3">
      <w:pPr>
        <w:pStyle w:val="ListParagraph"/>
        <w:numPr>
          <w:ilvl w:val="0"/>
          <w:numId w:val="17"/>
        </w:numPr>
        <w:spacing w:after="80" w:line="276" w:lineRule="auto"/>
      </w:pPr>
      <w:r>
        <w:t>Made available to data subjects and data controllers (schools) on request</w:t>
      </w:r>
    </w:p>
    <w:p w14:paraId="4419EA59" w14:textId="77777777" w:rsidR="007B42CD" w:rsidRDefault="00000000">
      <w:pPr>
        <w:pStyle w:val="Heading1"/>
      </w:pPr>
      <w:r>
        <w:lastRenderedPageBreak/>
        <w:t>11. Governance and Accountability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7B42CD" w14:paraId="34E8358D" w14:textId="77777777">
        <w:tblPrEx>
          <w:tblCellMar>
            <w:top w:w="0" w:type="dxa"/>
            <w:bottom w:w="0" w:type="dxa"/>
          </w:tblCellMar>
        </w:tblPrEx>
        <w:trPr>
          <w:tblHeader/>
        </w:trPr>
        <w:tc>
          <w:tcPr>
            <w:tcW w:w="25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1403791" w14:textId="77777777" w:rsidR="007B42CD" w:rsidRDefault="00000000">
            <w:r>
              <w:rPr>
                <w:b/>
                <w:bCs/>
                <w:color w:val="FFFFFF"/>
              </w:rPr>
              <w:t>Role</w:t>
            </w:r>
          </w:p>
        </w:tc>
        <w:tc>
          <w:tcPr>
            <w:tcW w:w="65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7A08A59" w14:textId="77777777" w:rsidR="007B42CD" w:rsidRDefault="00000000">
            <w:r>
              <w:rPr>
                <w:b/>
                <w:bCs/>
                <w:color w:val="FFFFFF"/>
              </w:rPr>
              <w:t>Responsibility</w:t>
            </w:r>
          </w:p>
        </w:tc>
      </w:tr>
      <w:tr w:rsidR="007B42CD" w14:paraId="3D4D8901"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5B250F" w14:textId="77777777" w:rsidR="007B42CD" w:rsidRDefault="00000000">
            <w:r>
              <w:rPr>
                <w:color w:val="333333"/>
              </w:rPr>
              <w:t>Director (Stuart Armley-Jones)</w:t>
            </w:r>
          </w:p>
        </w:tc>
        <w:tc>
          <w:tcPr>
            <w:tcW w:w="6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A98B31" w14:textId="77777777" w:rsidR="007B42CD" w:rsidRDefault="00000000">
            <w:r>
              <w:rPr>
                <w:color w:val="333333"/>
              </w:rPr>
              <w:t>Overall accountability for data protection compliance. Approves this APD and any material changes to special category data processing</w:t>
            </w:r>
          </w:p>
        </w:tc>
      </w:tr>
      <w:tr w:rsidR="007B42CD" w14:paraId="349E8BD6"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8DB9AA" w14:textId="77777777" w:rsidR="007B42CD" w:rsidRDefault="00000000">
            <w:r>
              <w:rPr>
                <w:color w:val="333333"/>
              </w:rPr>
              <w:t>Data Protection Lead</w:t>
            </w:r>
          </w:p>
        </w:tc>
        <w:tc>
          <w:tcPr>
            <w:tcW w:w="6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18987B" w14:textId="77777777" w:rsidR="007B42CD" w:rsidRDefault="00000000">
            <w:r>
              <w:rPr>
                <w:color w:val="333333"/>
              </w:rPr>
              <w:t>Day-to-day responsibility for data protection compliance, including maintenance of this APD, the ROPA, and the DPIA. Primary contact for data protection queries and regulatory correspondence</w:t>
            </w:r>
          </w:p>
        </w:tc>
      </w:tr>
      <w:tr w:rsidR="007B42CD" w14:paraId="5A23BCD5"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6772D3" w14:textId="77777777" w:rsidR="007B42CD" w:rsidRDefault="00000000">
            <w:r>
              <w:rPr>
                <w:color w:val="333333"/>
              </w:rPr>
              <w:t>Engineering Team</w:t>
            </w:r>
          </w:p>
        </w:tc>
        <w:tc>
          <w:tcPr>
            <w:tcW w:w="6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ACD993" w14:textId="77777777" w:rsidR="007B42CD" w:rsidRDefault="00000000">
            <w:r>
              <w:rPr>
                <w:color w:val="333333"/>
              </w:rPr>
              <w:t>Implementation and maintenance of technical security controls, access controls, encryption, and monitoring. Responsible for incident response and technical assistance with data subject requests</w:t>
            </w:r>
          </w:p>
        </w:tc>
      </w:tr>
      <w:tr w:rsidR="007B42CD" w14:paraId="3E95CCA8" w14:textId="77777777">
        <w:tblPrEx>
          <w:tblCellMar>
            <w:top w:w="0" w:type="dxa"/>
            <w:bottom w:w="0" w:type="dxa"/>
          </w:tblCellMar>
        </w:tblPrEx>
        <w:tc>
          <w:tcPr>
            <w:tcW w:w="25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102ED1" w14:textId="77777777" w:rsidR="007B42CD" w:rsidRDefault="00000000">
            <w:r>
              <w:rPr>
                <w:color w:val="333333"/>
              </w:rPr>
              <w:t>All Staff</w:t>
            </w:r>
          </w:p>
        </w:tc>
        <w:tc>
          <w:tcPr>
            <w:tcW w:w="65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FE0CFEF" w14:textId="77777777" w:rsidR="007B42CD" w:rsidRDefault="00000000">
            <w:r>
              <w:rPr>
                <w:color w:val="333333"/>
              </w:rPr>
              <w:t>Compliance with data protection policies and procedures. Completion of mandatory training. Prompt reporting of any suspected data breach or compliance concern</w:t>
            </w:r>
          </w:p>
        </w:tc>
      </w:tr>
    </w:tbl>
    <w:p w14:paraId="13D911CA" w14:textId="77777777" w:rsidR="007B42CD" w:rsidRDefault="007B42CD">
      <w:pPr>
        <w:spacing w:after="200"/>
      </w:pPr>
    </w:p>
    <w:p w14:paraId="098C342C" w14:textId="77777777" w:rsidR="007B42CD" w:rsidRDefault="00000000">
      <w:pPr>
        <w:pStyle w:val="Heading1"/>
      </w:pPr>
      <w:r>
        <w:t>12. Related Documents</w:t>
      </w:r>
    </w:p>
    <w:p w14:paraId="62BA41E4" w14:textId="77777777" w:rsidR="007B42CD" w:rsidRDefault="00000000">
      <w:pPr>
        <w:spacing w:after="160" w:line="276" w:lineRule="auto"/>
      </w:pPr>
      <w:r>
        <w:t>This APD should be read in conjunction with:</w:t>
      </w:r>
    </w:p>
    <w:p w14:paraId="1E7EB3BA" w14:textId="63A7E6D0" w:rsidR="007B42CD" w:rsidRDefault="00000000" w:rsidP="00E957F3">
      <w:pPr>
        <w:pStyle w:val="ListParagraph"/>
        <w:numPr>
          <w:ilvl w:val="0"/>
          <w:numId w:val="18"/>
        </w:numPr>
        <w:spacing w:after="80" w:line="276" w:lineRule="auto"/>
      </w:pPr>
      <w:r>
        <w:t>Privacy Policy</w:t>
      </w:r>
      <w:r w:rsidR="00E957F3">
        <w:t xml:space="preserve">: </w:t>
      </w:r>
      <w:r>
        <w:t>describes the personal data processed and data subject rights</w:t>
      </w:r>
    </w:p>
    <w:p w14:paraId="7DC1AF9F" w14:textId="464EB571" w:rsidR="007B42CD" w:rsidRDefault="00000000" w:rsidP="00E957F3">
      <w:pPr>
        <w:pStyle w:val="ListParagraph"/>
        <w:numPr>
          <w:ilvl w:val="0"/>
          <w:numId w:val="18"/>
        </w:numPr>
        <w:spacing w:after="80" w:line="276" w:lineRule="auto"/>
      </w:pPr>
      <w:r>
        <w:t>Data Processing Agreement (DPA)</w:t>
      </w:r>
      <w:r w:rsidR="00E957F3">
        <w:t>:</w:t>
      </w:r>
      <w:r>
        <w:t xml:space="preserve"> governs the processor relationship with schools</w:t>
      </w:r>
    </w:p>
    <w:p w14:paraId="0A7B6ACA" w14:textId="79DCDA2B" w:rsidR="007B42CD" w:rsidRDefault="00000000" w:rsidP="00E957F3">
      <w:pPr>
        <w:pStyle w:val="ListParagraph"/>
        <w:numPr>
          <w:ilvl w:val="0"/>
          <w:numId w:val="18"/>
        </w:numPr>
        <w:spacing w:after="80" w:line="276" w:lineRule="auto"/>
      </w:pPr>
      <w:r>
        <w:t>Data Protection Impact Assessment (DPIA)</w:t>
      </w:r>
      <w:r w:rsidR="00E957F3">
        <w:t xml:space="preserve">: </w:t>
      </w:r>
      <w:r>
        <w:t>assesses the risks of processing</w:t>
      </w:r>
    </w:p>
    <w:p w14:paraId="3BBC7CCF" w14:textId="59828D94" w:rsidR="007B42CD" w:rsidRDefault="00000000" w:rsidP="00E957F3">
      <w:pPr>
        <w:pStyle w:val="ListParagraph"/>
        <w:numPr>
          <w:ilvl w:val="0"/>
          <w:numId w:val="18"/>
        </w:numPr>
        <w:spacing w:after="80" w:line="276" w:lineRule="auto"/>
      </w:pPr>
      <w:r>
        <w:t>Data Retention Policy</w:t>
      </w:r>
      <w:r w:rsidR="00E957F3">
        <w:t>:</w:t>
      </w:r>
      <w:r>
        <w:t xml:space="preserve"> defines retention periods and disposal procedures</w:t>
      </w:r>
    </w:p>
    <w:p w14:paraId="490CD83B" w14:textId="68D9426A" w:rsidR="007B42CD" w:rsidRDefault="00000000" w:rsidP="00E957F3">
      <w:pPr>
        <w:pStyle w:val="ListParagraph"/>
        <w:numPr>
          <w:ilvl w:val="0"/>
          <w:numId w:val="18"/>
        </w:numPr>
        <w:spacing w:after="80" w:line="276" w:lineRule="auto"/>
      </w:pPr>
      <w:r>
        <w:t>Information Security Policy</w:t>
      </w:r>
      <w:r w:rsidR="00E957F3">
        <w:t xml:space="preserve">: </w:t>
      </w:r>
      <w:r>
        <w:t>describes technical and organisational security measures</w:t>
      </w:r>
    </w:p>
    <w:p w14:paraId="0CD030C5" w14:textId="19755B27" w:rsidR="007B42CD" w:rsidRDefault="00000000" w:rsidP="00E957F3">
      <w:pPr>
        <w:pStyle w:val="ListParagraph"/>
        <w:numPr>
          <w:ilvl w:val="0"/>
          <w:numId w:val="18"/>
        </w:numPr>
        <w:spacing w:after="80" w:line="276" w:lineRule="auto"/>
      </w:pPr>
      <w:r>
        <w:t>Incident Response Policy</w:t>
      </w:r>
      <w:r w:rsidR="00E957F3">
        <w:t xml:space="preserve">: </w:t>
      </w:r>
      <w:r>
        <w:t>defines breach identification, escalation, and notification procedures</w:t>
      </w:r>
    </w:p>
    <w:p w14:paraId="29EBA72C" w14:textId="21BB3235" w:rsidR="007B42CD" w:rsidRDefault="00000000" w:rsidP="00E957F3">
      <w:pPr>
        <w:pStyle w:val="ListParagraph"/>
        <w:numPr>
          <w:ilvl w:val="0"/>
          <w:numId w:val="18"/>
        </w:numPr>
        <w:spacing w:after="80" w:line="276" w:lineRule="auto"/>
      </w:pPr>
      <w:r>
        <w:t>Acceptable Use Policy (AUP)</w:t>
      </w:r>
      <w:r w:rsidR="00E957F3">
        <w:t xml:space="preserve">: </w:t>
      </w:r>
      <w:r>
        <w:t>defines permitted and prohibited use of the Platform</w:t>
      </w:r>
    </w:p>
    <w:p w14:paraId="5078FFE7" w14:textId="33C77279" w:rsidR="007B42CD" w:rsidRDefault="00000000" w:rsidP="00E957F3">
      <w:pPr>
        <w:pStyle w:val="ListParagraph"/>
        <w:numPr>
          <w:ilvl w:val="0"/>
          <w:numId w:val="18"/>
        </w:numPr>
        <w:spacing w:after="80" w:line="276" w:lineRule="auto"/>
      </w:pPr>
      <w:r>
        <w:t>Sub-Processor List</w:t>
      </w:r>
      <w:r w:rsidR="00E957F3">
        <w:t>:</w:t>
      </w:r>
      <w:r>
        <w:t xml:space="preserve"> identifies all third parties processing data on behalf of Student Radar</w:t>
      </w:r>
    </w:p>
    <w:p w14:paraId="4CFE0E3E" w14:textId="3DCC7E1D" w:rsidR="007B42CD" w:rsidRDefault="00000000" w:rsidP="00E957F3">
      <w:pPr>
        <w:pStyle w:val="ListParagraph"/>
        <w:numPr>
          <w:ilvl w:val="0"/>
          <w:numId w:val="18"/>
        </w:numPr>
        <w:spacing w:after="80" w:line="276" w:lineRule="auto"/>
      </w:pPr>
      <w:r>
        <w:t>Accessibility Statement</w:t>
      </w:r>
      <w:r w:rsidR="00E957F3">
        <w:t>:</w:t>
      </w:r>
      <w:r>
        <w:t xml:space="preserve"> describes accessibility commitments and conformance</w:t>
      </w:r>
    </w:p>
    <w:p w14:paraId="49754BBF" w14:textId="1EDAB320" w:rsidR="007B42CD" w:rsidRDefault="00000000" w:rsidP="00E957F3">
      <w:pPr>
        <w:pStyle w:val="ListParagraph"/>
        <w:numPr>
          <w:ilvl w:val="0"/>
          <w:numId w:val="18"/>
        </w:numPr>
        <w:spacing w:after="80" w:line="276" w:lineRule="auto"/>
      </w:pPr>
      <w:r>
        <w:t>Business Continuity Summary</w:t>
      </w:r>
      <w:r w:rsidR="00E957F3">
        <w:t>:</w:t>
      </w:r>
      <w:r>
        <w:t xml:space="preserve"> describes resilience, recovery, and continuity measures</w:t>
      </w:r>
    </w:p>
    <w:p w14:paraId="33E7B574" w14:textId="77777777" w:rsidR="007B42CD" w:rsidRDefault="00000000">
      <w:pPr>
        <w:pStyle w:val="Heading1"/>
      </w:pPr>
      <w:r>
        <w:t>13. Version History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800"/>
        <w:gridCol w:w="4426"/>
        <w:gridCol w:w="1800"/>
      </w:tblGrid>
      <w:tr w:rsidR="007B42CD" w14:paraId="10D06F2A" w14:textId="77777777">
        <w:tblPrEx>
          <w:tblCellMar>
            <w:top w:w="0" w:type="dxa"/>
            <w:bottom w:w="0" w:type="dxa"/>
          </w:tblCellMar>
        </w:tblPrEx>
        <w:trPr>
          <w:tblHeader/>
        </w:trPr>
        <w:tc>
          <w:tcPr>
            <w:tcW w:w="1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B28FF87" w14:textId="77777777" w:rsidR="007B42CD" w:rsidRDefault="00000000">
            <w:r>
              <w:rPr>
                <w:b/>
                <w:bCs/>
                <w:color w:val="FFFFFF"/>
              </w:rPr>
              <w:t>Version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4EDFB675" w14:textId="77777777" w:rsidR="007B42CD" w:rsidRDefault="00000000">
            <w:r>
              <w:rPr>
                <w:b/>
                <w:bCs/>
                <w:color w:val="FFFFFF"/>
              </w:rPr>
              <w:t>Date</w:t>
            </w:r>
          </w:p>
        </w:tc>
        <w:tc>
          <w:tcPr>
            <w:tcW w:w="44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7678D3A" w14:textId="77777777" w:rsidR="007B42CD" w:rsidRDefault="00000000">
            <w:r>
              <w:rPr>
                <w:b/>
                <w:bCs/>
                <w:color w:val="FFFFFF"/>
              </w:rPr>
              <w:t>Change Description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AA1EB65" w14:textId="77777777" w:rsidR="007B42CD" w:rsidRDefault="00000000">
            <w:r>
              <w:rPr>
                <w:b/>
                <w:bCs/>
                <w:color w:val="FFFFFF"/>
              </w:rPr>
              <w:t>Author</w:t>
            </w:r>
          </w:p>
        </w:tc>
      </w:tr>
      <w:tr w:rsidR="007B42CD" w14:paraId="48910B66" w14:textId="77777777">
        <w:tblPrEx>
          <w:tblCellMar>
            <w:top w:w="0" w:type="dxa"/>
            <w:bottom w:w="0" w:type="dxa"/>
          </w:tblCellMar>
        </w:tblPrEx>
        <w:tc>
          <w:tcPr>
            <w:tcW w:w="1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456032" w14:textId="77777777" w:rsidR="007B42CD" w:rsidRDefault="00000000">
            <w:r>
              <w:rPr>
                <w:color w:val="333333"/>
              </w:rPr>
              <w:t>1.0</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883203" w14:textId="77777777" w:rsidR="007B42CD" w:rsidRDefault="00000000">
            <w:r>
              <w:rPr>
                <w:color w:val="333333"/>
              </w:rPr>
              <w:t>21 February 2026</w:t>
            </w:r>
          </w:p>
        </w:tc>
        <w:tc>
          <w:tcPr>
            <w:tcW w:w="44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F35A62" w14:textId="77777777" w:rsidR="007B42CD" w:rsidRDefault="00000000">
            <w:r>
              <w:rPr>
                <w:color w:val="333333"/>
              </w:rPr>
              <w:t>Initial publication</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DF2B67" w14:textId="77777777" w:rsidR="007B42CD" w:rsidRDefault="00000000">
            <w:r>
              <w:rPr>
                <w:color w:val="333333"/>
              </w:rPr>
              <w:t>Stuart Armley-Jones</w:t>
            </w:r>
          </w:p>
        </w:tc>
      </w:tr>
    </w:tbl>
    <w:p w14:paraId="7F6F20FE" w14:textId="77777777" w:rsidR="007B42CD" w:rsidRDefault="007B42CD">
      <w:pPr>
        <w:spacing w:after="200"/>
      </w:pPr>
    </w:p>
    <w:p w14:paraId="6551A16A" w14:textId="77777777" w:rsidR="007B42CD" w:rsidRDefault="00000000">
      <w:pPr>
        <w:pStyle w:val="Heading1"/>
      </w:pPr>
      <w:r>
        <w:t>14. Contact</w:t>
      </w:r>
    </w:p>
    <w:p w14:paraId="07AA43FE" w14:textId="77777777" w:rsidR="007B42CD" w:rsidRDefault="00000000">
      <w:pPr>
        <w:spacing w:after="160" w:line="276" w:lineRule="auto"/>
      </w:pPr>
      <w:r>
        <w:lastRenderedPageBreak/>
        <w:t>For questions about this Appropriate Policy Document or the processing of special category data, please contact us:</w:t>
      </w:r>
    </w:p>
    <w:p w14:paraId="29FF0AA4" w14:textId="77777777" w:rsidR="007B42CD" w:rsidRDefault="00000000">
      <w:pPr>
        <w:spacing w:after="40" w:line="276" w:lineRule="auto"/>
      </w:pPr>
      <w:r>
        <w:rPr>
          <w:b/>
          <w:bCs/>
        </w:rPr>
        <w:t>Student Radar – Data Protection Lead</w:t>
      </w:r>
    </w:p>
    <w:p w14:paraId="3848053A" w14:textId="77777777" w:rsidR="007B42CD" w:rsidRDefault="00000000">
      <w:pPr>
        <w:spacing w:after="160" w:line="276" w:lineRule="auto"/>
      </w:pPr>
      <w:r>
        <w:t>Email: dpo@studentradar.com</w:t>
      </w:r>
    </w:p>
    <w:p w14:paraId="3DFD5F22" w14:textId="77777777" w:rsidR="007B42CD" w:rsidRDefault="00000000">
      <w:pPr>
        <w:spacing w:after="160" w:line="276" w:lineRule="auto"/>
      </w:pPr>
      <w:r>
        <w:t>General: support@studentradar.com</w:t>
      </w:r>
    </w:p>
    <w:p w14:paraId="3C3765C2" w14:textId="77777777" w:rsidR="007B42CD" w:rsidRDefault="00000000">
      <w:pPr>
        <w:spacing w:after="160" w:line="276" w:lineRule="auto"/>
      </w:pPr>
      <w:r>
        <w:t>Website: www.studentradar.com</w:t>
      </w:r>
    </w:p>
    <w:p w14:paraId="3447851D" w14:textId="77777777" w:rsidR="007B42CD" w:rsidRDefault="00000000">
      <w:pPr>
        <w:spacing w:after="160" w:line="276" w:lineRule="auto"/>
      </w:pPr>
      <w:r>
        <w:t xml:space="preserve">Address: </w:t>
      </w:r>
      <w:proofErr w:type="spellStart"/>
      <w:r>
        <w:t>SENDlink</w:t>
      </w:r>
      <w:proofErr w:type="spellEnd"/>
      <w:r>
        <w:t xml:space="preserve"> LTD, 10 Masefield Gardens, Plymouth, PL5 3HU</w:t>
      </w:r>
    </w:p>
    <w:p w14:paraId="36CA87DF" w14:textId="77777777" w:rsidR="007B42CD" w:rsidRDefault="007B42CD">
      <w:pPr>
        <w:spacing w:after="200"/>
      </w:pPr>
    </w:p>
    <w:p w14:paraId="12CB43CA" w14:textId="77777777" w:rsidR="007B42CD" w:rsidRDefault="00000000">
      <w:pPr>
        <w:spacing w:after="160" w:line="276" w:lineRule="auto"/>
      </w:pPr>
      <w:r>
        <w:t>You may also contact the ICO directly:</w:t>
      </w:r>
    </w:p>
    <w:p w14:paraId="1AF464B1" w14:textId="77777777" w:rsidR="007B42CD" w:rsidRDefault="00000000">
      <w:pPr>
        <w:spacing w:after="160" w:line="276" w:lineRule="auto"/>
      </w:pPr>
      <w:r>
        <w:t>Information Commissioner’s Office</w:t>
      </w:r>
    </w:p>
    <w:p w14:paraId="2CC798A5" w14:textId="77777777" w:rsidR="007B42CD" w:rsidRDefault="00000000">
      <w:pPr>
        <w:spacing w:after="160" w:line="276" w:lineRule="auto"/>
      </w:pPr>
      <w:r>
        <w:t>Wycliffe House, Water Lane, Wilmslow, Cheshire, SK9 5AF</w:t>
      </w:r>
    </w:p>
    <w:p w14:paraId="0037AA37" w14:textId="77777777" w:rsidR="007B42CD" w:rsidRDefault="00000000">
      <w:pPr>
        <w:spacing w:after="160" w:line="276" w:lineRule="auto"/>
      </w:pPr>
      <w:r>
        <w:t>Telephone: 0303 123 1113</w:t>
      </w:r>
    </w:p>
    <w:p w14:paraId="7289C343" w14:textId="77777777" w:rsidR="007B42CD" w:rsidRDefault="00000000">
      <w:pPr>
        <w:spacing w:after="160" w:line="276" w:lineRule="auto"/>
      </w:pPr>
      <w:r>
        <w:t>Website: www.ico.org.uk</w:t>
      </w:r>
    </w:p>
    <w:sectPr w:rsidR="007B42CD">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7838" w14:textId="77777777" w:rsidR="00364105" w:rsidRDefault="00364105">
      <w:r>
        <w:separator/>
      </w:r>
    </w:p>
  </w:endnote>
  <w:endnote w:type="continuationSeparator" w:id="0">
    <w:p w14:paraId="62AA056C" w14:textId="77777777" w:rsidR="00364105" w:rsidRDefault="0036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6204" w14:textId="77777777" w:rsidR="007B42CD" w:rsidRDefault="00000000">
    <w:pPr>
      <w:pBdr>
        <w:top w:val="single" w:sz="1" w:space="8" w:color="CCCCCC"/>
      </w:pBdr>
      <w:spacing w:before="200"/>
      <w:jc w:val="center"/>
    </w:pPr>
    <w:r>
      <w:rPr>
        <w:color w:val="888888"/>
        <w:sz w:val="18"/>
        <w:szCs w:val="18"/>
      </w:rPr>
      <w:t xml:space="preserve">Student Radar – Appropriate Policy </w:t>
    </w:r>
    <w:proofErr w:type="gramStart"/>
    <w:r>
      <w:rPr>
        <w:color w:val="888888"/>
        <w:sz w:val="18"/>
        <w:szCs w:val="18"/>
      </w:rPr>
      <w:t>Document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E957F3">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96F7" w14:textId="77777777" w:rsidR="00364105" w:rsidRDefault="00364105">
      <w:r>
        <w:separator/>
      </w:r>
    </w:p>
  </w:footnote>
  <w:footnote w:type="continuationSeparator" w:id="0">
    <w:p w14:paraId="07B2A8C5" w14:textId="77777777" w:rsidR="00364105" w:rsidRDefault="00364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C482"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63314CB9"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7AF2BF92"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Appropriate Policy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Appropriate Policy Document</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E17"/>
    <w:multiLevelType w:val="hybridMultilevel"/>
    <w:tmpl w:val="DE8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E7E23"/>
    <w:multiLevelType w:val="hybridMultilevel"/>
    <w:tmpl w:val="D782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A6F35"/>
    <w:multiLevelType w:val="hybridMultilevel"/>
    <w:tmpl w:val="3E72E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37DD5"/>
    <w:multiLevelType w:val="hybridMultilevel"/>
    <w:tmpl w:val="6E9C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5B9F"/>
    <w:multiLevelType w:val="hybridMultilevel"/>
    <w:tmpl w:val="36A4BC3C"/>
    <w:lvl w:ilvl="0" w:tplc="E304AB1C">
      <w:start w:val="1"/>
      <w:numFmt w:val="bullet"/>
      <w:lvlText w:val="●"/>
      <w:lvlJc w:val="left"/>
      <w:pPr>
        <w:ind w:left="720" w:hanging="360"/>
      </w:pPr>
    </w:lvl>
    <w:lvl w:ilvl="1" w:tplc="DF5A26A0">
      <w:start w:val="1"/>
      <w:numFmt w:val="bullet"/>
      <w:lvlText w:val="○"/>
      <w:lvlJc w:val="left"/>
      <w:pPr>
        <w:ind w:left="1440" w:hanging="360"/>
      </w:pPr>
    </w:lvl>
    <w:lvl w:ilvl="2" w:tplc="21041022">
      <w:start w:val="1"/>
      <w:numFmt w:val="bullet"/>
      <w:lvlText w:val="■"/>
      <w:lvlJc w:val="left"/>
      <w:pPr>
        <w:ind w:left="2160" w:hanging="360"/>
      </w:pPr>
    </w:lvl>
    <w:lvl w:ilvl="3" w:tplc="3084B89E">
      <w:start w:val="1"/>
      <w:numFmt w:val="bullet"/>
      <w:lvlText w:val="●"/>
      <w:lvlJc w:val="left"/>
      <w:pPr>
        <w:ind w:left="2880" w:hanging="360"/>
      </w:pPr>
    </w:lvl>
    <w:lvl w:ilvl="4" w:tplc="165A00F2">
      <w:start w:val="1"/>
      <w:numFmt w:val="bullet"/>
      <w:lvlText w:val="○"/>
      <w:lvlJc w:val="left"/>
      <w:pPr>
        <w:ind w:left="3600" w:hanging="360"/>
      </w:pPr>
    </w:lvl>
    <w:lvl w:ilvl="5" w:tplc="B080C9AE">
      <w:start w:val="1"/>
      <w:numFmt w:val="bullet"/>
      <w:lvlText w:val="■"/>
      <w:lvlJc w:val="left"/>
      <w:pPr>
        <w:ind w:left="4320" w:hanging="360"/>
      </w:pPr>
    </w:lvl>
    <w:lvl w:ilvl="6" w:tplc="A5982BF4">
      <w:start w:val="1"/>
      <w:numFmt w:val="bullet"/>
      <w:lvlText w:val="●"/>
      <w:lvlJc w:val="left"/>
      <w:pPr>
        <w:ind w:left="5040" w:hanging="360"/>
      </w:pPr>
    </w:lvl>
    <w:lvl w:ilvl="7" w:tplc="7B5A9B4E">
      <w:start w:val="1"/>
      <w:numFmt w:val="bullet"/>
      <w:lvlText w:val="●"/>
      <w:lvlJc w:val="left"/>
      <w:pPr>
        <w:ind w:left="5760" w:hanging="360"/>
      </w:pPr>
    </w:lvl>
    <w:lvl w:ilvl="8" w:tplc="75F6D66C">
      <w:start w:val="1"/>
      <w:numFmt w:val="bullet"/>
      <w:lvlText w:val="●"/>
      <w:lvlJc w:val="left"/>
      <w:pPr>
        <w:ind w:left="6480" w:hanging="360"/>
      </w:pPr>
    </w:lvl>
  </w:abstractNum>
  <w:abstractNum w:abstractNumId="5" w15:restartNumberingAfterBreak="0">
    <w:nsid w:val="15F17EB1"/>
    <w:multiLevelType w:val="hybridMultilevel"/>
    <w:tmpl w:val="6056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C6943"/>
    <w:multiLevelType w:val="hybridMultilevel"/>
    <w:tmpl w:val="E61A3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91721"/>
    <w:multiLevelType w:val="hybridMultilevel"/>
    <w:tmpl w:val="E4AA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B384E"/>
    <w:multiLevelType w:val="hybridMultilevel"/>
    <w:tmpl w:val="918C0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D80C59"/>
    <w:multiLevelType w:val="hybridMultilevel"/>
    <w:tmpl w:val="B87E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C52D1A"/>
    <w:multiLevelType w:val="hybridMultilevel"/>
    <w:tmpl w:val="16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9707E"/>
    <w:multiLevelType w:val="hybridMultilevel"/>
    <w:tmpl w:val="9F3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059EB"/>
    <w:multiLevelType w:val="hybridMultilevel"/>
    <w:tmpl w:val="954A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418A5"/>
    <w:multiLevelType w:val="hybridMultilevel"/>
    <w:tmpl w:val="2D0E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237138"/>
    <w:multiLevelType w:val="hybridMultilevel"/>
    <w:tmpl w:val="9620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0378"/>
    <w:multiLevelType w:val="hybridMultilevel"/>
    <w:tmpl w:val="968A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34403"/>
    <w:multiLevelType w:val="hybridMultilevel"/>
    <w:tmpl w:val="F6C81FE4"/>
    <w:lvl w:ilvl="0" w:tplc="D32828C8">
      <w:start w:val="1"/>
      <w:numFmt w:val="bullet"/>
      <w:lvlText w:val="•"/>
      <w:lvlJc w:val="left"/>
      <w:pPr>
        <w:ind w:left="720" w:hanging="360"/>
      </w:pPr>
    </w:lvl>
    <w:lvl w:ilvl="1" w:tplc="DC02DDC2">
      <w:numFmt w:val="decimal"/>
      <w:lvlText w:val=""/>
      <w:lvlJc w:val="left"/>
    </w:lvl>
    <w:lvl w:ilvl="2" w:tplc="0A28DFAC">
      <w:numFmt w:val="decimal"/>
      <w:lvlText w:val=""/>
      <w:lvlJc w:val="left"/>
    </w:lvl>
    <w:lvl w:ilvl="3" w:tplc="57A84390">
      <w:numFmt w:val="decimal"/>
      <w:lvlText w:val=""/>
      <w:lvlJc w:val="left"/>
    </w:lvl>
    <w:lvl w:ilvl="4" w:tplc="5D4E16A2">
      <w:numFmt w:val="decimal"/>
      <w:lvlText w:val=""/>
      <w:lvlJc w:val="left"/>
    </w:lvl>
    <w:lvl w:ilvl="5" w:tplc="9C6C5946">
      <w:numFmt w:val="decimal"/>
      <w:lvlText w:val=""/>
      <w:lvlJc w:val="left"/>
    </w:lvl>
    <w:lvl w:ilvl="6" w:tplc="6504D270">
      <w:numFmt w:val="decimal"/>
      <w:lvlText w:val=""/>
      <w:lvlJc w:val="left"/>
    </w:lvl>
    <w:lvl w:ilvl="7" w:tplc="C0B68990">
      <w:numFmt w:val="decimal"/>
      <w:lvlText w:val=""/>
      <w:lvlJc w:val="left"/>
    </w:lvl>
    <w:lvl w:ilvl="8" w:tplc="C6A2B8F8">
      <w:numFmt w:val="decimal"/>
      <w:lvlText w:val=""/>
      <w:lvlJc w:val="left"/>
    </w:lvl>
  </w:abstractNum>
  <w:abstractNum w:abstractNumId="17" w15:restartNumberingAfterBreak="0">
    <w:nsid w:val="7AB25F9A"/>
    <w:multiLevelType w:val="hybridMultilevel"/>
    <w:tmpl w:val="E9F0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480618">
    <w:abstractNumId w:val="4"/>
    <w:lvlOverride w:ilvl="0">
      <w:startOverride w:val="1"/>
    </w:lvlOverride>
  </w:num>
  <w:num w:numId="2" w16cid:durableId="1827672666">
    <w:abstractNumId w:val="16"/>
    <w:lvlOverride w:ilvl="0">
      <w:startOverride w:val="1"/>
    </w:lvlOverride>
  </w:num>
  <w:num w:numId="3" w16cid:durableId="235631770">
    <w:abstractNumId w:val="1"/>
  </w:num>
  <w:num w:numId="4" w16cid:durableId="383483633">
    <w:abstractNumId w:val="9"/>
  </w:num>
  <w:num w:numId="5" w16cid:durableId="1637107052">
    <w:abstractNumId w:val="5"/>
  </w:num>
  <w:num w:numId="6" w16cid:durableId="1563297657">
    <w:abstractNumId w:val="11"/>
  </w:num>
  <w:num w:numId="7" w16cid:durableId="1031033682">
    <w:abstractNumId w:val="10"/>
  </w:num>
  <w:num w:numId="8" w16cid:durableId="671837359">
    <w:abstractNumId w:val="12"/>
  </w:num>
  <w:num w:numId="9" w16cid:durableId="1612395038">
    <w:abstractNumId w:val="13"/>
  </w:num>
  <w:num w:numId="10" w16cid:durableId="355540049">
    <w:abstractNumId w:val="2"/>
  </w:num>
  <w:num w:numId="11" w16cid:durableId="1090080989">
    <w:abstractNumId w:val="0"/>
  </w:num>
  <w:num w:numId="12" w16cid:durableId="1934119393">
    <w:abstractNumId w:val="15"/>
  </w:num>
  <w:num w:numId="13" w16cid:durableId="1543975082">
    <w:abstractNumId w:val="6"/>
  </w:num>
  <w:num w:numId="14" w16cid:durableId="1848206158">
    <w:abstractNumId w:val="17"/>
  </w:num>
  <w:num w:numId="15" w16cid:durableId="412119741">
    <w:abstractNumId w:val="3"/>
  </w:num>
  <w:num w:numId="16" w16cid:durableId="1258103714">
    <w:abstractNumId w:val="8"/>
  </w:num>
  <w:num w:numId="17" w16cid:durableId="715009936">
    <w:abstractNumId w:val="14"/>
  </w:num>
  <w:num w:numId="18" w16cid:durableId="1038510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2CD"/>
    <w:rsid w:val="00364105"/>
    <w:rsid w:val="007B42CD"/>
    <w:rsid w:val="00CB2512"/>
    <w:rsid w:val="00E95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215594"/>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2817</Words>
  <Characters>16932</Characters>
  <Application>Microsoft Office Word</Application>
  <DocSecurity>0</DocSecurity>
  <Lines>457</Lines>
  <Paragraphs>274</Paragraphs>
  <ScaleCrop>false</ScaleCrop>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2</cp:revision>
  <dcterms:created xsi:type="dcterms:W3CDTF">2026-02-21T16:16:00Z</dcterms:created>
  <dcterms:modified xsi:type="dcterms:W3CDTF">2026-02-23T12:14:00Z</dcterms:modified>
</cp:coreProperties>
</file>