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EF54" w14:textId="46D7F95D" w:rsidR="00E22E51" w:rsidRDefault="00000000" w:rsidP="009D4A1F">
      <w:pPr>
        <w:spacing w:after="120"/>
      </w:pPr>
      <w:r>
        <w:t xml:space="preserve">Version 1.0 </w:t>
      </w:r>
    </w:p>
    <w:p w14:paraId="5A913D6F" w14:textId="77777777" w:rsidR="00E22E51" w:rsidRDefault="00000000" w:rsidP="009D4A1F">
      <w:pPr>
        <w:spacing w:after="300"/>
      </w:pPr>
      <w:r>
        <w:t>Last Updated: 21 February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E22E51" w14:paraId="5B16E45C"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0EEB5F3" w14:textId="77777777" w:rsidR="00E22E51"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0C6F0F6" w14:textId="77777777" w:rsidR="00E22E51" w:rsidRDefault="00000000">
            <w:r>
              <w:rPr>
                <w:b/>
                <w:bCs/>
                <w:color w:val="FFFFFF"/>
              </w:rPr>
              <w:t>Detail</w:t>
            </w:r>
          </w:p>
        </w:tc>
      </w:tr>
      <w:tr w:rsidR="00E22E51" w14:paraId="119C3FE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4372D8" w14:textId="77777777" w:rsidR="00E22E51"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997EA4" w14:textId="77777777" w:rsidR="00E22E51" w:rsidRDefault="00000000">
            <w:r>
              <w:rPr>
                <w:color w:val="333333"/>
              </w:rPr>
              <w:t>Data Protection Lead, Student Radar</w:t>
            </w:r>
          </w:p>
        </w:tc>
      </w:tr>
      <w:tr w:rsidR="00E22E51" w14:paraId="425F268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4D6BF2" w14:textId="77777777" w:rsidR="00E22E51"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32FEA0" w14:textId="311E7723" w:rsidR="00E22E51" w:rsidRDefault="00000000">
            <w:r>
              <w:rPr>
                <w:color w:val="333333"/>
              </w:rPr>
              <w:t xml:space="preserve">Stuart Armley-Jones, </w:t>
            </w:r>
            <w:r w:rsidR="00391961">
              <w:rPr>
                <w:color w:val="333333"/>
              </w:rPr>
              <w:t xml:space="preserve">Managing </w:t>
            </w:r>
            <w:r>
              <w:rPr>
                <w:color w:val="333333"/>
              </w:rPr>
              <w:t>Director</w:t>
            </w:r>
          </w:p>
        </w:tc>
      </w:tr>
      <w:tr w:rsidR="00E22E51" w14:paraId="12FB577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56D4AD" w14:textId="77777777" w:rsidR="00E22E51"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29C871" w14:textId="77777777" w:rsidR="00E22E51" w:rsidRDefault="00000000">
            <w:r>
              <w:rPr>
                <w:color w:val="333333"/>
              </w:rPr>
              <w:t>Annually, or when AI features or transfer arrangements change</w:t>
            </w:r>
          </w:p>
        </w:tc>
      </w:tr>
      <w:tr w:rsidR="00E22E51" w14:paraId="03265B5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583857" w14:textId="77777777" w:rsidR="00E22E51"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764AF5" w14:textId="77777777" w:rsidR="00E22E51" w:rsidRDefault="00000000">
            <w:r>
              <w:rPr>
                <w:color w:val="333333"/>
              </w:rPr>
              <w:t>February 2027</w:t>
            </w:r>
          </w:p>
        </w:tc>
      </w:tr>
      <w:tr w:rsidR="00E22E51" w14:paraId="2C13F12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8A02BF" w14:textId="77777777" w:rsidR="00E22E51"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984ECD" w14:textId="77777777" w:rsidR="00E22E51" w:rsidRDefault="00000000">
            <w:r>
              <w:rPr>
                <w:color w:val="333333"/>
              </w:rPr>
              <w:t>Privacy Policy, Data Processing Agreement, Data Protection Impact Assessment, Sub-Processor List, Appropriate Policy Document</w:t>
            </w:r>
          </w:p>
        </w:tc>
      </w:tr>
    </w:tbl>
    <w:p w14:paraId="1417477A" w14:textId="77777777" w:rsidR="00E22E51" w:rsidRDefault="00E22E51">
      <w:pPr>
        <w:spacing w:after="200"/>
      </w:pPr>
    </w:p>
    <w:p w14:paraId="5C1DD2C8" w14:textId="77777777" w:rsidR="00E22E51" w:rsidRDefault="00000000">
      <w:pPr>
        <w:pStyle w:val="Heading1"/>
        <w:spacing w:before="200" w:after="100"/>
        <w:jc w:val="center"/>
      </w:pPr>
      <w:r>
        <w:rPr>
          <w:sz w:val="32"/>
          <w:szCs w:val="32"/>
        </w:rPr>
        <w:t>PART A: ARTIFICIAL INTELLIGENCE</w:t>
      </w:r>
    </w:p>
    <w:p w14:paraId="7F2C3D16" w14:textId="77777777" w:rsidR="00E22E51" w:rsidRDefault="00E22E51">
      <w:pPr>
        <w:spacing w:after="200"/>
      </w:pPr>
    </w:p>
    <w:p w14:paraId="5F306D8D" w14:textId="77777777" w:rsidR="00E22E51" w:rsidRDefault="00000000">
      <w:pPr>
        <w:pStyle w:val="Heading1"/>
      </w:pPr>
      <w:r>
        <w:t>1. Introduction</w:t>
      </w:r>
    </w:p>
    <w:p w14:paraId="5FE79E1A" w14:textId="77777777" w:rsidR="00E22E51" w:rsidRDefault="00000000">
      <w:pPr>
        <w:spacing w:after="160" w:line="276" w:lineRule="auto"/>
      </w:pPr>
      <w:r>
        <w:t>This document provides transparency about Student Radar’s use of artificial intelligence (“AI”) within the Platform and sets out the safeguards in place to protect schools, pupils, and staff. It also explains how Student Radar manages international data transfers.</w:t>
      </w:r>
    </w:p>
    <w:p w14:paraId="53A92A27" w14:textId="77777777" w:rsidR="00E22E51" w:rsidRDefault="00000000">
      <w:pPr>
        <w:spacing w:after="160" w:line="276" w:lineRule="auto"/>
      </w:pPr>
      <w:r>
        <w:t>This document is intended for school leaders, Data Protection Officers, IT teams, and MAT procurement leads. It supports due diligence under the UK GDPR, the DPA 2018, and emerging AI governance frameworks including the ICO’s guidance on AI and data protection.</w:t>
      </w:r>
    </w:p>
    <w:p w14:paraId="1BC30ACA" w14:textId="77777777" w:rsidR="00E22E51" w:rsidRDefault="00000000">
      <w:pPr>
        <w:pStyle w:val="Heading1"/>
      </w:pPr>
      <w:r>
        <w:t>2. AI Features Overview</w:t>
      </w:r>
    </w:p>
    <w:p w14:paraId="24819B16" w14:textId="77777777" w:rsidR="00E22E51" w:rsidRDefault="00000000">
      <w:pPr>
        <w:spacing w:after="160" w:line="276" w:lineRule="auto"/>
      </w:pPr>
      <w:r>
        <w:t>Student Radar offers optional AI-powered features that assist school staff with administrative and analytical tasks. All AI features are modules that must be explicitly enabled by the Customer (school or MAT). They are not active by default.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200"/>
        <w:gridCol w:w="3526"/>
        <w:gridCol w:w="2800"/>
      </w:tblGrid>
      <w:tr w:rsidR="00E22E51" w14:paraId="4DCCAB65" w14:textId="77777777">
        <w:tblPrEx>
          <w:tblCellMar>
            <w:top w:w="0" w:type="dxa"/>
            <w:bottom w:w="0" w:type="dxa"/>
          </w:tblCellMar>
        </w:tblPrEx>
        <w:trPr>
          <w:tblHeader/>
        </w:trPr>
        <w:tc>
          <w:tcPr>
            <w:tcW w:w="1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B275B35" w14:textId="77777777" w:rsidR="00E22E51" w:rsidRDefault="00000000">
            <w:r>
              <w:rPr>
                <w:b/>
                <w:bCs/>
                <w:color w:val="FFFFFF"/>
              </w:rPr>
              <w:t>Feature</w:t>
            </w:r>
          </w:p>
        </w:tc>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FE2CD48" w14:textId="77777777" w:rsidR="00E22E51" w:rsidRDefault="00000000">
            <w:r>
              <w:rPr>
                <w:b/>
                <w:bCs/>
                <w:color w:val="FFFFFF"/>
              </w:rPr>
              <w:t>Module</w:t>
            </w:r>
          </w:p>
        </w:tc>
        <w:tc>
          <w:tcPr>
            <w:tcW w:w="3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AEA1281" w14:textId="77777777" w:rsidR="00E22E51" w:rsidRDefault="00000000">
            <w:r>
              <w:rPr>
                <w:b/>
                <w:bCs/>
                <w:color w:val="FFFFFF"/>
              </w:rPr>
              <w:t>Purpose</w:t>
            </w:r>
          </w:p>
        </w:tc>
        <w:tc>
          <w:tcPr>
            <w:tcW w:w="2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0D4C66B" w14:textId="77777777" w:rsidR="00E22E51" w:rsidRDefault="00000000">
            <w:r>
              <w:rPr>
                <w:b/>
                <w:bCs/>
                <w:color w:val="FFFFFF"/>
              </w:rPr>
              <w:t>User Interaction</w:t>
            </w:r>
          </w:p>
        </w:tc>
      </w:tr>
      <w:tr w:rsidR="00E22E51" w14:paraId="0804AE18"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D82832" w14:textId="77777777" w:rsidR="00E22E51" w:rsidRDefault="00000000">
            <w:r>
              <w:rPr>
                <w:color w:val="333333"/>
              </w:rPr>
              <w:t>Risk Assessor</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8ACC38" w14:textId="77777777" w:rsidR="00E22E51" w:rsidRDefault="00000000">
            <w:r>
              <w:rPr>
                <w:color w:val="333333"/>
              </w:rPr>
              <w:t>Assess module</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C97A2E" w14:textId="77777777" w:rsidR="00E22E51" w:rsidRDefault="00000000">
            <w:r>
              <w:rPr>
                <w:color w:val="333333"/>
              </w:rPr>
              <w:t>Analyses pupil data patterns to highlight pupils who may benefit from additional support or intervention. Generates risk indicators based on attendance trends, assessment trajectories, and SEND provision history</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60F787" w14:textId="77777777" w:rsidR="00E22E51" w:rsidRDefault="00000000">
            <w:r>
              <w:rPr>
                <w:color w:val="333333"/>
              </w:rPr>
              <w:t>Staff reviews AI-generated risk flags and decides whether to act. No automated action is taken</w:t>
            </w:r>
          </w:p>
        </w:tc>
      </w:tr>
      <w:tr w:rsidR="00E22E51" w14:paraId="66D0C8B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97941A" w14:textId="77777777" w:rsidR="00E22E51" w:rsidRDefault="00000000">
            <w:r>
              <w:rPr>
                <w:color w:val="333333"/>
              </w:rPr>
              <w:t>IEP Creator</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198AED" w14:textId="77777777" w:rsidR="00E22E51" w:rsidRDefault="00000000">
            <w:r>
              <w:rPr>
                <w:color w:val="333333"/>
              </w:rPr>
              <w:t>Provision module</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F38C01" w14:textId="77777777" w:rsidR="00E22E51" w:rsidRDefault="00000000">
            <w:r>
              <w:rPr>
                <w:color w:val="333333"/>
              </w:rPr>
              <w:t xml:space="preserve">Drafts suggested Individual Education Plan (IEP) content based on a pupil’s SEND profile, </w:t>
            </w:r>
            <w:r>
              <w:rPr>
                <w:color w:val="333333"/>
              </w:rPr>
              <w:lastRenderedPageBreak/>
              <w:t>prior provision, and assessment data. Produces structured text suggestions for learning objectives, strategies, and success criteria</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4EB70B" w14:textId="77777777" w:rsidR="00E22E51" w:rsidRDefault="00000000">
            <w:r>
              <w:rPr>
                <w:color w:val="333333"/>
              </w:rPr>
              <w:lastRenderedPageBreak/>
              <w:t xml:space="preserve">Staff reviews, edits, and approves all drafted content before it becomes part of </w:t>
            </w:r>
            <w:r>
              <w:rPr>
                <w:color w:val="333333"/>
              </w:rPr>
              <w:lastRenderedPageBreak/>
              <w:t>the pupil’s IEP. The AI draft is a starting point, not a final document</w:t>
            </w:r>
          </w:p>
        </w:tc>
      </w:tr>
      <w:tr w:rsidR="00E22E51" w14:paraId="1E7F8384"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B0ABEF" w14:textId="77777777" w:rsidR="00E22E51" w:rsidRDefault="00000000">
            <w:r>
              <w:rPr>
                <w:color w:val="333333"/>
              </w:rPr>
              <w:lastRenderedPageBreak/>
              <w:t>Insight Generator</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C0D26D" w14:textId="77777777" w:rsidR="00E22E51" w:rsidRDefault="00000000">
            <w:r>
              <w:rPr>
                <w:color w:val="333333"/>
              </w:rPr>
              <w:t>Analyse module</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55A14C" w14:textId="77777777" w:rsidR="00E22E51" w:rsidRDefault="00000000">
            <w:r>
              <w:rPr>
                <w:color w:val="333333"/>
              </w:rPr>
              <w:t>Analyses cohort-level data to identify patterns, trends, and anomalies across SEND provision, attendance, and outcomes. Generates narrative summaries and suggested questions for governors’ reports or SENCo reviews</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19CAA2" w14:textId="77777777" w:rsidR="00E22E51" w:rsidRDefault="00000000">
            <w:r>
              <w:rPr>
                <w:color w:val="333333"/>
              </w:rPr>
              <w:t>Staff reviews generated insights. Outputs are clearly labelled as AI-generated and must be validated before inclusion in any formal report</w:t>
            </w:r>
          </w:p>
        </w:tc>
      </w:tr>
    </w:tbl>
    <w:p w14:paraId="1CE5308D" w14:textId="77777777" w:rsidR="00E22E51" w:rsidRDefault="00E22E51">
      <w:pPr>
        <w:spacing w:after="200"/>
      </w:pPr>
    </w:p>
    <w:p w14:paraId="1F8463A5" w14:textId="77777777" w:rsidR="00E22E51" w:rsidRDefault="00000000">
      <w:pPr>
        <w:pStyle w:val="Heading1"/>
      </w:pPr>
      <w:r>
        <w:t>3. AI Principles</w:t>
      </w:r>
    </w:p>
    <w:p w14:paraId="34EF834A" w14:textId="77777777" w:rsidR="00E22E51" w:rsidRDefault="00000000">
      <w:pPr>
        <w:spacing w:after="160" w:line="276" w:lineRule="auto"/>
      </w:pPr>
      <w:r>
        <w:t>Student Radar’s use of AI is governed by the following principles:</w:t>
      </w:r>
    </w:p>
    <w:p w14:paraId="638C7942" w14:textId="77777777" w:rsidR="00E22E51" w:rsidRDefault="00000000">
      <w:pPr>
        <w:pStyle w:val="Heading2"/>
      </w:pPr>
      <w:r>
        <w:t>3.1 Human-in-the-Loop</w:t>
      </w:r>
    </w:p>
    <w:p w14:paraId="1F14CED7" w14:textId="77777777" w:rsidR="00E22E51" w:rsidRDefault="00000000">
      <w:pPr>
        <w:spacing w:after="160" w:line="276" w:lineRule="auto"/>
      </w:pPr>
      <w:r>
        <w:t>All AI features are advisory only. No AI output results in an automated decision that produces legal or similarly significant effects on any individual. A qualified member of school staff must review, validate, and approve every AI output before it is acted upon or recorded.</w:t>
      </w:r>
    </w:p>
    <w:p w14:paraId="7C4FDD3A" w14:textId="77777777" w:rsidR="00E22E51" w:rsidRDefault="00000000">
      <w:pPr>
        <w:spacing w:after="160" w:line="276" w:lineRule="auto"/>
      </w:pPr>
      <w:r>
        <w:t>This means:</w:t>
      </w:r>
    </w:p>
    <w:p w14:paraId="1EE6F315" w14:textId="77777777" w:rsidR="00E22E51" w:rsidRDefault="00000000" w:rsidP="00BE3B20">
      <w:pPr>
        <w:pStyle w:val="ListParagraph"/>
        <w:numPr>
          <w:ilvl w:val="0"/>
          <w:numId w:val="3"/>
        </w:numPr>
        <w:spacing w:after="80" w:line="276" w:lineRule="auto"/>
      </w:pPr>
      <w:r>
        <w:t>AI outputs do not constitute professional advice (educational, medical, legal, or otherwise)</w:t>
      </w:r>
    </w:p>
    <w:p w14:paraId="1D082D98" w14:textId="77777777" w:rsidR="00E22E51" w:rsidRDefault="00000000" w:rsidP="00BE3B20">
      <w:pPr>
        <w:pStyle w:val="ListParagraph"/>
        <w:numPr>
          <w:ilvl w:val="0"/>
          <w:numId w:val="3"/>
        </w:numPr>
        <w:spacing w:after="80" w:line="276" w:lineRule="auto"/>
      </w:pPr>
      <w:r>
        <w:t xml:space="preserve">No pupil is categorised, referred, excluded, or flagged solely </w:t>
      </w:r>
      <w:proofErr w:type="gramStart"/>
      <w:r>
        <w:t>on the basis of</w:t>
      </w:r>
      <w:proofErr w:type="gramEnd"/>
      <w:r>
        <w:t xml:space="preserve"> an AI output</w:t>
      </w:r>
    </w:p>
    <w:p w14:paraId="5DC9E633" w14:textId="77777777" w:rsidR="00E22E51" w:rsidRDefault="00000000" w:rsidP="00BE3B20">
      <w:pPr>
        <w:pStyle w:val="ListParagraph"/>
        <w:numPr>
          <w:ilvl w:val="0"/>
          <w:numId w:val="3"/>
        </w:numPr>
        <w:spacing w:after="80" w:line="276" w:lineRule="auto"/>
      </w:pPr>
      <w:r>
        <w:t>Staff retain full discretion to accept, modify, or reject any AI suggestion</w:t>
      </w:r>
    </w:p>
    <w:p w14:paraId="25912565" w14:textId="77777777" w:rsidR="00E22E51" w:rsidRDefault="00000000" w:rsidP="00BE3B20">
      <w:pPr>
        <w:pStyle w:val="ListParagraph"/>
        <w:numPr>
          <w:ilvl w:val="0"/>
          <w:numId w:val="3"/>
        </w:numPr>
        <w:spacing w:after="80" w:line="276" w:lineRule="auto"/>
      </w:pPr>
      <w:r>
        <w:t>AI features cannot override or contradict decisions made by school staff</w:t>
      </w:r>
    </w:p>
    <w:p w14:paraId="4C5458A0" w14:textId="77777777" w:rsidR="00E22E51" w:rsidRDefault="00000000">
      <w:pPr>
        <w:pStyle w:val="Heading2"/>
      </w:pPr>
      <w:r>
        <w:t>3.2 Transparency</w:t>
      </w:r>
    </w:p>
    <w:p w14:paraId="5AD8D029" w14:textId="77777777" w:rsidR="00E22E51" w:rsidRDefault="00000000" w:rsidP="00BE3B20">
      <w:pPr>
        <w:pStyle w:val="ListParagraph"/>
        <w:numPr>
          <w:ilvl w:val="0"/>
          <w:numId w:val="4"/>
        </w:numPr>
        <w:spacing w:after="80" w:line="276" w:lineRule="auto"/>
      </w:pPr>
      <w:r>
        <w:t>All AI-generated content is clearly labelled within the Platform interface as “AI-generated” or “AI-suggested”</w:t>
      </w:r>
    </w:p>
    <w:p w14:paraId="4AB68D29" w14:textId="77777777" w:rsidR="00E22E51" w:rsidRDefault="00000000" w:rsidP="00BE3B20">
      <w:pPr>
        <w:pStyle w:val="ListParagraph"/>
        <w:numPr>
          <w:ilvl w:val="0"/>
          <w:numId w:val="4"/>
        </w:numPr>
        <w:spacing w:after="80" w:line="276" w:lineRule="auto"/>
      </w:pPr>
      <w:r>
        <w:t>Schools are informed before enablement about what each AI feature does, what data it uses, and what its limitations are</w:t>
      </w:r>
    </w:p>
    <w:p w14:paraId="585236AF" w14:textId="77777777" w:rsidR="00E22E51" w:rsidRDefault="00000000" w:rsidP="00BE3B20">
      <w:pPr>
        <w:pStyle w:val="ListParagraph"/>
        <w:numPr>
          <w:ilvl w:val="0"/>
          <w:numId w:val="4"/>
        </w:numPr>
        <w:spacing w:after="80" w:line="276" w:lineRule="auto"/>
      </w:pPr>
      <w:r>
        <w:t>This document is provided as part of procurement due diligence and is available on request</w:t>
      </w:r>
    </w:p>
    <w:p w14:paraId="6508BAC7" w14:textId="77777777" w:rsidR="00E22E51" w:rsidRDefault="00000000">
      <w:pPr>
        <w:pStyle w:val="Heading2"/>
      </w:pPr>
      <w:r>
        <w:t>3.3 Data Minimisation</w:t>
      </w:r>
    </w:p>
    <w:p w14:paraId="1AF25104" w14:textId="77777777" w:rsidR="00E22E51" w:rsidRDefault="00000000" w:rsidP="00BE3B20">
      <w:pPr>
        <w:pStyle w:val="ListParagraph"/>
        <w:numPr>
          <w:ilvl w:val="0"/>
          <w:numId w:val="5"/>
        </w:numPr>
        <w:spacing w:after="80" w:line="276" w:lineRule="auto"/>
      </w:pPr>
      <w:r>
        <w:t>AI features receive only the minimum data necessary to generate the requested output</w:t>
      </w:r>
    </w:p>
    <w:p w14:paraId="5D1ACF6F" w14:textId="77777777" w:rsidR="00E22E51" w:rsidRDefault="00000000" w:rsidP="00BE3B20">
      <w:pPr>
        <w:pStyle w:val="ListParagraph"/>
        <w:numPr>
          <w:ilvl w:val="0"/>
          <w:numId w:val="5"/>
        </w:numPr>
        <w:spacing w:after="80" w:line="276" w:lineRule="auto"/>
      </w:pPr>
      <w:r>
        <w:lastRenderedPageBreak/>
        <w:t>Personal data is tokenised before transmission to the AI sub-processor (OpenAI). Raw personal data (names, dates of birth, UPNs) is not sent</w:t>
      </w:r>
    </w:p>
    <w:p w14:paraId="6894AC04" w14:textId="77777777" w:rsidR="00E22E51" w:rsidRDefault="00000000" w:rsidP="00BE3B20">
      <w:pPr>
        <w:pStyle w:val="ListParagraph"/>
        <w:numPr>
          <w:ilvl w:val="0"/>
          <w:numId w:val="5"/>
        </w:numPr>
        <w:spacing w:after="80" w:line="276" w:lineRule="auto"/>
      </w:pPr>
      <w:r>
        <w:t>Tokenisation occurs within the Student Radar application layer before any data leaves our infrastructure</w:t>
      </w:r>
    </w:p>
    <w:p w14:paraId="2A97F55D" w14:textId="77777777" w:rsidR="00E22E51" w:rsidRDefault="00000000">
      <w:pPr>
        <w:pStyle w:val="Heading2"/>
      </w:pPr>
      <w:r>
        <w:t>3.4 No Training on Customer Data</w:t>
      </w:r>
    </w:p>
    <w:p w14:paraId="22ACB772" w14:textId="77777777" w:rsidR="00E22E51" w:rsidRDefault="00000000">
      <w:pPr>
        <w:spacing w:after="160" w:line="276" w:lineRule="auto"/>
      </w:pPr>
      <w:r>
        <w:rPr>
          <w:b/>
          <w:bCs/>
        </w:rPr>
        <w:t xml:space="preserve">Student Radar’s AI sub-processor (OpenAI) does not use Customer Data to train, fine-tune, or improve its models. </w:t>
      </w:r>
      <w:r>
        <w:t>This is contractually guaranteed under a zero-retention API agreement. Specifically:</w:t>
      </w:r>
    </w:p>
    <w:p w14:paraId="57064EE7" w14:textId="77777777" w:rsidR="00E22E51" w:rsidRDefault="00000000" w:rsidP="00BE3B20">
      <w:pPr>
        <w:pStyle w:val="ListParagraph"/>
        <w:numPr>
          <w:ilvl w:val="0"/>
          <w:numId w:val="6"/>
        </w:numPr>
        <w:spacing w:after="80" w:line="276" w:lineRule="auto"/>
      </w:pPr>
      <w:r>
        <w:t>API inputs are not stored by OpenAI beyond the duration of the API request</w:t>
      </w:r>
    </w:p>
    <w:p w14:paraId="280DE07E" w14:textId="77777777" w:rsidR="00E22E51" w:rsidRDefault="00000000" w:rsidP="00BE3B20">
      <w:pPr>
        <w:pStyle w:val="ListParagraph"/>
        <w:numPr>
          <w:ilvl w:val="0"/>
          <w:numId w:val="6"/>
        </w:numPr>
        <w:spacing w:after="80" w:line="276" w:lineRule="auto"/>
      </w:pPr>
      <w:r>
        <w:t>API inputs and outputs are not used for model training or improvement</w:t>
      </w:r>
    </w:p>
    <w:p w14:paraId="3769FCD1" w14:textId="77777777" w:rsidR="00E22E51" w:rsidRDefault="00000000" w:rsidP="00BE3B20">
      <w:pPr>
        <w:pStyle w:val="ListParagraph"/>
        <w:numPr>
          <w:ilvl w:val="0"/>
          <w:numId w:val="6"/>
        </w:numPr>
        <w:spacing w:after="80" w:line="276" w:lineRule="auto"/>
      </w:pPr>
      <w:r>
        <w:t>OpenAI’s zero-retention policy applies to all data processed through the Student Radar integration</w:t>
      </w:r>
    </w:p>
    <w:p w14:paraId="7814BCDB" w14:textId="77777777" w:rsidR="00E22E51" w:rsidRDefault="00000000" w:rsidP="00BE3B20">
      <w:pPr>
        <w:pStyle w:val="ListParagraph"/>
        <w:numPr>
          <w:ilvl w:val="0"/>
          <w:numId w:val="6"/>
        </w:numPr>
        <w:spacing w:after="80" w:line="276" w:lineRule="auto"/>
      </w:pPr>
      <w:r>
        <w:t>This position is verified annually as part of sub-processor due diligence</w:t>
      </w:r>
    </w:p>
    <w:p w14:paraId="4E9E2315" w14:textId="77777777" w:rsidR="00E22E51" w:rsidRDefault="00000000">
      <w:pPr>
        <w:pStyle w:val="Heading2"/>
      </w:pPr>
      <w:r>
        <w:t>3.5 Fairness and Bias</w:t>
      </w:r>
    </w:p>
    <w:p w14:paraId="23B4AA55" w14:textId="77777777" w:rsidR="00E22E51" w:rsidRDefault="00000000">
      <w:pPr>
        <w:spacing w:after="160" w:line="276" w:lineRule="auto"/>
      </w:pPr>
      <w:r>
        <w:t>Student Radar is aware that AI systems can reflect or amplify biases present in training data or input data. The following safeguards are in place:</w:t>
      </w:r>
    </w:p>
    <w:p w14:paraId="64F74037" w14:textId="77777777" w:rsidR="00E22E51" w:rsidRDefault="00000000" w:rsidP="00BE3B20">
      <w:pPr>
        <w:pStyle w:val="ListParagraph"/>
        <w:numPr>
          <w:ilvl w:val="0"/>
          <w:numId w:val="7"/>
        </w:numPr>
        <w:spacing w:after="80" w:line="276" w:lineRule="auto"/>
      </w:pPr>
      <w:r>
        <w:t>AI outputs are advisory and subject to professional human judgement</w:t>
      </w:r>
    </w:p>
    <w:p w14:paraId="7C6766CD" w14:textId="77777777" w:rsidR="00E22E51" w:rsidRDefault="00000000" w:rsidP="00BE3B20">
      <w:pPr>
        <w:pStyle w:val="ListParagraph"/>
        <w:numPr>
          <w:ilvl w:val="0"/>
          <w:numId w:val="7"/>
        </w:numPr>
        <w:spacing w:after="80" w:line="276" w:lineRule="auto"/>
      </w:pPr>
      <w:r>
        <w:t>Risk Assessor outputs are based on objective, measurable indicators (attendance percentages, assessment scores, SEND provision records) rather than subjective or demographic characteristics</w:t>
      </w:r>
    </w:p>
    <w:p w14:paraId="25DFCB19" w14:textId="77777777" w:rsidR="00E22E51" w:rsidRDefault="00000000" w:rsidP="00BE3B20">
      <w:pPr>
        <w:pStyle w:val="ListParagraph"/>
        <w:numPr>
          <w:ilvl w:val="0"/>
          <w:numId w:val="7"/>
        </w:numPr>
        <w:spacing w:after="80" w:line="276" w:lineRule="auto"/>
      </w:pPr>
      <w:r>
        <w:t>Ethnicity, religion, and other protected characteristics are not used as input features for AI risk scoring</w:t>
      </w:r>
    </w:p>
    <w:p w14:paraId="157F44E4" w14:textId="77777777" w:rsidR="00E22E51" w:rsidRDefault="00000000" w:rsidP="00BE3B20">
      <w:pPr>
        <w:pStyle w:val="ListParagraph"/>
        <w:numPr>
          <w:ilvl w:val="0"/>
          <w:numId w:val="7"/>
        </w:numPr>
        <w:spacing w:after="80" w:line="276" w:lineRule="auto"/>
      </w:pPr>
      <w:r>
        <w:t>Bias reviews are conducted quarterly. Metrics include false positive/negative rates for risk assessments across demographic groups (where the Controller provides such data), calibration accuracy, and outcome distribution analysis. The Data Protection Lead reviews findings and has authority to suspend any AI feature where material bias is identified. Results are shared with Controllers upon request.</w:t>
      </w:r>
    </w:p>
    <w:p w14:paraId="4E82AB41" w14:textId="77777777" w:rsidR="00E22E51" w:rsidRDefault="00000000" w:rsidP="00BE3B20">
      <w:pPr>
        <w:pStyle w:val="ListParagraph"/>
        <w:numPr>
          <w:ilvl w:val="0"/>
          <w:numId w:val="7"/>
        </w:numPr>
        <w:spacing w:after="80" w:line="276" w:lineRule="auto"/>
      </w:pPr>
      <w:r>
        <w:t>If bias is identified, the feature is suspended pending investigation and remediation</w:t>
      </w:r>
    </w:p>
    <w:p w14:paraId="05F0C0F2" w14:textId="77777777" w:rsidR="00E22E51" w:rsidRDefault="00000000">
      <w:pPr>
        <w:pStyle w:val="Heading2"/>
      </w:pPr>
      <w:r>
        <w:t>3.6 Accountability</w:t>
      </w:r>
    </w:p>
    <w:p w14:paraId="0026BFB6" w14:textId="77777777" w:rsidR="00E22E51" w:rsidRDefault="00000000" w:rsidP="00BE3B20">
      <w:pPr>
        <w:pStyle w:val="ListParagraph"/>
        <w:numPr>
          <w:ilvl w:val="0"/>
          <w:numId w:val="8"/>
        </w:numPr>
        <w:spacing w:after="80" w:line="276" w:lineRule="auto"/>
      </w:pPr>
      <w:r>
        <w:t xml:space="preserve">The school (as data controller) retains full responsibility for any decision made </w:t>
      </w:r>
      <w:proofErr w:type="gramStart"/>
      <w:r>
        <w:t>on the basis of</w:t>
      </w:r>
      <w:proofErr w:type="gramEnd"/>
      <w:r>
        <w:t xml:space="preserve"> an AI output</w:t>
      </w:r>
    </w:p>
    <w:p w14:paraId="69955AA5" w14:textId="77777777" w:rsidR="00E22E51" w:rsidRDefault="00000000" w:rsidP="00BE3B20">
      <w:pPr>
        <w:pStyle w:val="ListParagraph"/>
        <w:numPr>
          <w:ilvl w:val="0"/>
          <w:numId w:val="8"/>
        </w:numPr>
        <w:spacing w:after="80" w:line="276" w:lineRule="auto"/>
      </w:pPr>
      <w:r>
        <w:t>Student Radar (as data processor) is responsible for ensuring the AI integration operates as documented, processes only tokenised data, and complies with the DPA and this document</w:t>
      </w:r>
    </w:p>
    <w:p w14:paraId="21C34842" w14:textId="77777777" w:rsidR="00E22E51" w:rsidRDefault="00000000" w:rsidP="00BE3B20">
      <w:pPr>
        <w:pStyle w:val="ListParagraph"/>
        <w:numPr>
          <w:ilvl w:val="0"/>
          <w:numId w:val="8"/>
        </w:numPr>
        <w:spacing w:after="80" w:line="276" w:lineRule="auto"/>
      </w:pPr>
      <w:r>
        <w:t>AI-related incidents are escalated under the Incident Response Policy and classified according to the standard P1–P4 framework</w:t>
      </w:r>
    </w:p>
    <w:p w14:paraId="5BB7C572" w14:textId="77777777" w:rsidR="00E22E51" w:rsidRDefault="00000000">
      <w:pPr>
        <w:pStyle w:val="Heading1"/>
      </w:pPr>
      <w:r>
        <w:lastRenderedPageBreak/>
        <w:t>4. AI Data Flow</w:t>
      </w:r>
    </w:p>
    <w:p w14:paraId="341E8C78" w14:textId="77777777" w:rsidR="00E22E51" w:rsidRDefault="00000000">
      <w:pPr>
        <w:spacing w:after="160" w:line="276" w:lineRule="auto"/>
      </w:pPr>
      <w:r>
        <w:t>The following describes the data flow when an AI feature is used: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6"/>
        <w:gridCol w:w="3406"/>
        <w:gridCol w:w="2520"/>
        <w:gridCol w:w="2444"/>
      </w:tblGrid>
      <w:tr w:rsidR="00E22E51" w14:paraId="4A15E6CD" w14:textId="77777777">
        <w:tblPrEx>
          <w:tblCellMar>
            <w:top w:w="0" w:type="dxa"/>
            <w:bottom w:w="0" w:type="dxa"/>
          </w:tblCellMar>
        </w:tblPrEx>
        <w:trPr>
          <w:tblHeader/>
        </w:trPr>
        <w:tc>
          <w:tcPr>
            <w:tcW w:w="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2FF9A35" w14:textId="77777777" w:rsidR="00E22E51" w:rsidRDefault="00000000">
            <w:r>
              <w:rPr>
                <w:b/>
                <w:bCs/>
                <w:color w:val="FFFFFF"/>
              </w:rPr>
              <w:t>Step</w:t>
            </w:r>
          </w:p>
        </w:tc>
        <w:tc>
          <w:tcPr>
            <w:tcW w:w="3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2CBA916" w14:textId="77777777" w:rsidR="00E22E51" w:rsidRDefault="00000000">
            <w:r>
              <w:rPr>
                <w:b/>
                <w:bCs/>
                <w:color w:val="FFFFFF"/>
              </w:rPr>
              <w:t>Description</w:t>
            </w:r>
          </w:p>
        </w:tc>
        <w:tc>
          <w:tcPr>
            <w:tcW w:w="2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A2295ED" w14:textId="77777777" w:rsidR="00E22E51" w:rsidRDefault="00000000">
            <w:r>
              <w:rPr>
                <w:b/>
                <w:bCs/>
                <w:color w:val="FFFFFF"/>
              </w:rPr>
              <w:t>Location</w:t>
            </w:r>
          </w:p>
        </w:tc>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BDE4BFC" w14:textId="77777777" w:rsidR="00E22E51" w:rsidRDefault="00000000">
            <w:r>
              <w:rPr>
                <w:b/>
                <w:bCs/>
                <w:color w:val="FFFFFF"/>
              </w:rPr>
              <w:t>Data State</w:t>
            </w:r>
          </w:p>
        </w:tc>
      </w:tr>
      <w:tr w:rsidR="00E22E51" w14:paraId="3F4204A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4421A9" w14:textId="77777777" w:rsidR="00E22E51" w:rsidRDefault="00000000">
            <w:r>
              <w:rPr>
                <w:color w:val="333333"/>
              </w:rPr>
              <w:t>1</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CC2C68" w14:textId="77777777" w:rsidR="00E22E51" w:rsidRDefault="00000000">
            <w:r>
              <w:rPr>
                <w:color w:val="333333"/>
              </w:rPr>
              <w:t>School staff triggers an AI feature (e.g. “Generate IEP draft”)</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D06DB7" w14:textId="77777777" w:rsidR="00E22E51" w:rsidRDefault="00000000">
            <w:r>
              <w:rPr>
                <w:color w:val="333333"/>
              </w:rPr>
              <w:t>Platform (app.studentradar.com)</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0E00D1" w14:textId="77777777" w:rsidR="00E22E51" w:rsidRDefault="00000000">
            <w:r>
              <w:rPr>
                <w:color w:val="333333"/>
              </w:rPr>
              <w:t xml:space="preserve">User </w:t>
            </w:r>
            <w:proofErr w:type="gramStart"/>
            <w:r>
              <w:rPr>
                <w:color w:val="333333"/>
              </w:rPr>
              <w:t>action;</w:t>
            </w:r>
            <w:proofErr w:type="gramEnd"/>
            <w:r>
              <w:rPr>
                <w:color w:val="333333"/>
              </w:rPr>
              <w:t xml:space="preserve"> no data transmitted</w:t>
            </w:r>
          </w:p>
        </w:tc>
      </w:tr>
      <w:tr w:rsidR="00E22E51" w14:paraId="6875FC4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B95362" w14:textId="77777777" w:rsidR="00E22E51" w:rsidRDefault="00000000">
            <w:r>
              <w:rPr>
                <w:color w:val="333333"/>
              </w:rPr>
              <w:t>2</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C0B2D6" w14:textId="77777777" w:rsidR="00E22E51" w:rsidRDefault="00000000">
            <w:r>
              <w:rPr>
                <w:color w:val="333333"/>
              </w:rPr>
              <w:t>Platform assembles the relevant pupil data from the database</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99AC95" w14:textId="77777777" w:rsidR="00E22E51" w:rsidRDefault="00000000">
            <w:proofErr w:type="spellStart"/>
            <w:r>
              <w:rPr>
                <w:color w:val="333333"/>
              </w:rPr>
              <w:t>Supabase</w:t>
            </w:r>
            <w:proofErr w:type="spellEnd"/>
            <w:r>
              <w:rPr>
                <w:color w:val="333333"/>
              </w:rPr>
              <w:t xml:space="preserve"> (eu-west-2, London)</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7EBF1A" w14:textId="77777777" w:rsidR="00E22E51" w:rsidRDefault="00000000">
            <w:r>
              <w:rPr>
                <w:color w:val="333333"/>
              </w:rPr>
              <w:t>Personal data (encrypted at rest)</w:t>
            </w:r>
          </w:p>
        </w:tc>
      </w:tr>
      <w:tr w:rsidR="00E22E51" w14:paraId="47FECD05"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5CBDC3" w14:textId="77777777" w:rsidR="00E22E51" w:rsidRDefault="00000000">
            <w:r>
              <w:rPr>
                <w:color w:val="333333"/>
              </w:rPr>
              <w:t>3</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E8A6A0" w14:textId="77777777" w:rsidR="00E22E51" w:rsidRDefault="00000000">
            <w:r>
              <w:rPr>
                <w:color w:val="333333"/>
              </w:rPr>
              <w:t>Tokenisation engine replaces PII (names, DOBs, UPNs) with random tokens</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4D1839" w14:textId="77777777" w:rsidR="00E22E51" w:rsidRDefault="00000000">
            <w:r>
              <w:rPr>
                <w:color w:val="333333"/>
              </w:rPr>
              <w:t>Student Radar application layer (</w:t>
            </w:r>
            <w:proofErr w:type="spellStart"/>
            <w:r>
              <w:rPr>
                <w:color w:val="333333"/>
              </w:rPr>
              <w:t>Vercel</w:t>
            </w:r>
            <w:proofErr w:type="spellEnd"/>
            <w:r>
              <w:rPr>
                <w:color w:val="333333"/>
              </w:rPr>
              <w:t xml:space="preserve"> serverless function, EU)</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A72338" w14:textId="77777777" w:rsidR="00E22E51" w:rsidRDefault="00000000">
            <w:r>
              <w:rPr>
                <w:color w:val="333333"/>
              </w:rPr>
              <w:t>Tokenised; no raw PII</w:t>
            </w:r>
          </w:p>
        </w:tc>
      </w:tr>
      <w:tr w:rsidR="00E22E51" w14:paraId="3F495FAA"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0C2311" w14:textId="77777777" w:rsidR="00E22E51" w:rsidRDefault="00000000">
            <w:r>
              <w:rPr>
                <w:color w:val="333333"/>
              </w:rPr>
              <w:t>4</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AA0C62" w14:textId="77777777" w:rsidR="00E22E51" w:rsidRDefault="00000000">
            <w:r>
              <w:rPr>
                <w:color w:val="333333"/>
              </w:rPr>
              <w:t>Tokenised prompt is sent to OpenAI API via encrypted HTTPS connection</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A9D0D6" w14:textId="77777777" w:rsidR="00E22E51" w:rsidRDefault="00000000">
            <w:r>
              <w:rPr>
                <w:color w:val="333333"/>
              </w:rPr>
              <w:t>In transit (TLS 1.3)</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BD754A" w14:textId="77777777" w:rsidR="00E22E51" w:rsidRDefault="00000000">
            <w:r>
              <w:rPr>
                <w:color w:val="333333"/>
              </w:rPr>
              <w:t>Tokenised; encrypted in transit</w:t>
            </w:r>
          </w:p>
        </w:tc>
      </w:tr>
      <w:tr w:rsidR="00E22E51" w14:paraId="00571CD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E7D70B" w14:textId="77777777" w:rsidR="00E22E51" w:rsidRDefault="00000000">
            <w:r>
              <w:rPr>
                <w:color w:val="333333"/>
              </w:rPr>
              <w:t>5</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31BC7A" w14:textId="77777777" w:rsidR="00E22E51" w:rsidRDefault="00000000">
            <w:r>
              <w:rPr>
                <w:color w:val="333333"/>
              </w:rPr>
              <w:t>OpenAI processes the prompt and returns a response</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187B59" w14:textId="77777777" w:rsidR="00E22E51" w:rsidRDefault="00000000">
            <w:r>
              <w:rPr>
                <w:color w:val="333333"/>
              </w:rPr>
              <w:t>OpenAI API (EU/US endpoint)</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40D5CF" w14:textId="77777777" w:rsidR="00E22E51" w:rsidRDefault="00000000">
            <w:r>
              <w:rPr>
                <w:color w:val="333333"/>
              </w:rPr>
              <w:t>Tokenised; zero-retention (not stored by OpenAI)</w:t>
            </w:r>
          </w:p>
        </w:tc>
      </w:tr>
      <w:tr w:rsidR="00E22E51" w14:paraId="1B062B3F"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F98E17" w14:textId="77777777" w:rsidR="00E22E51" w:rsidRDefault="00000000">
            <w:r>
              <w:rPr>
                <w:color w:val="333333"/>
              </w:rPr>
              <w:t>6</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CCCE1E" w14:textId="77777777" w:rsidR="00E22E51" w:rsidRDefault="00000000">
            <w:r>
              <w:rPr>
                <w:color w:val="333333"/>
              </w:rPr>
              <w:t>Response received by Student Radar; tokens are de-tokenised back to original values</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0C1AE2" w14:textId="77777777" w:rsidR="00E22E51" w:rsidRDefault="00000000">
            <w:r>
              <w:rPr>
                <w:color w:val="333333"/>
              </w:rPr>
              <w:t>Student Radar application layer (</w:t>
            </w:r>
            <w:proofErr w:type="spellStart"/>
            <w:r>
              <w:rPr>
                <w:color w:val="333333"/>
              </w:rPr>
              <w:t>Vercel</w:t>
            </w:r>
            <w:proofErr w:type="spellEnd"/>
            <w:r>
              <w:rPr>
                <w:color w:val="333333"/>
              </w:rPr>
              <w:t>, EU)</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701C9A" w14:textId="77777777" w:rsidR="00E22E51" w:rsidRDefault="00000000">
            <w:r>
              <w:rPr>
                <w:color w:val="333333"/>
              </w:rPr>
              <w:t>Personal data restored (server-side only)</w:t>
            </w:r>
          </w:p>
        </w:tc>
      </w:tr>
      <w:tr w:rsidR="00E22E51" w14:paraId="51A2554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B5C78F" w14:textId="77777777" w:rsidR="00E22E51" w:rsidRDefault="00000000">
            <w:r>
              <w:rPr>
                <w:color w:val="333333"/>
              </w:rPr>
              <w:t>7</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B59138" w14:textId="77777777" w:rsidR="00E22E51" w:rsidRDefault="00000000">
            <w:r>
              <w:rPr>
                <w:color w:val="333333"/>
              </w:rPr>
              <w:t>De-tokenised output is presented to the staff member in the Platform UI</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90C3C5" w14:textId="77777777" w:rsidR="00E22E51" w:rsidRDefault="00000000">
            <w:r>
              <w:rPr>
                <w:color w:val="333333"/>
              </w:rPr>
              <w:t>Platform (app.studentradar.com)</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B33FC6" w14:textId="77777777" w:rsidR="00E22E51" w:rsidRDefault="00000000">
            <w:r>
              <w:rPr>
                <w:color w:val="333333"/>
              </w:rPr>
              <w:t>Visible to authorised staff only</w:t>
            </w:r>
          </w:p>
        </w:tc>
      </w:tr>
      <w:tr w:rsidR="00E22E51" w14:paraId="68B1ABB5"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AEC0DD" w14:textId="77777777" w:rsidR="00E22E51" w:rsidRDefault="00000000">
            <w:r>
              <w:rPr>
                <w:color w:val="333333"/>
              </w:rPr>
              <w:t>8</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29B4FA" w14:textId="77777777" w:rsidR="00E22E51" w:rsidRDefault="00000000">
            <w:r>
              <w:rPr>
                <w:color w:val="333333"/>
              </w:rPr>
              <w:t>Staff reviews, edits, and optionally saves the output</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10BABB" w14:textId="77777777" w:rsidR="00E22E51" w:rsidRDefault="00000000">
            <w:r>
              <w:rPr>
                <w:color w:val="333333"/>
              </w:rPr>
              <w:t xml:space="preserve">Platform / </w:t>
            </w:r>
            <w:proofErr w:type="spellStart"/>
            <w:r>
              <w:rPr>
                <w:color w:val="333333"/>
              </w:rPr>
              <w:t>Supabase</w:t>
            </w:r>
            <w:proofErr w:type="spellEnd"/>
            <w:r>
              <w:rPr>
                <w:color w:val="333333"/>
              </w:rPr>
              <w:t xml:space="preserve"> (eu-west-2)</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D85E97" w14:textId="77777777" w:rsidR="00E22E51" w:rsidRDefault="00000000">
            <w:r>
              <w:rPr>
                <w:color w:val="333333"/>
              </w:rPr>
              <w:t>Saved only if staff approves; encrypted at rest</w:t>
            </w:r>
          </w:p>
        </w:tc>
      </w:tr>
    </w:tbl>
    <w:p w14:paraId="03152B54" w14:textId="77777777" w:rsidR="00E22E51" w:rsidRDefault="00E22E51">
      <w:pPr>
        <w:spacing w:after="200"/>
      </w:pPr>
    </w:p>
    <w:p w14:paraId="5E2BF08F" w14:textId="77777777" w:rsidR="00E22E51" w:rsidRDefault="00000000">
      <w:pPr>
        <w:spacing w:after="160" w:line="276" w:lineRule="auto"/>
      </w:pPr>
      <w:r>
        <w:rPr>
          <w:b/>
          <w:bCs/>
        </w:rPr>
        <w:t xml:space="preserve">Key point: </w:t>
      </w:r>
      <w:r>
        <w:t>Structured personal data fields (names, dates of birth, UPNs) are tokenised before transmission and do not leave our infrastructure in raw form. However, free-text inputs submitted by staff may contain contextual details that could be indirectly identifying. To mitigate this risk, prompt templates restrict free-text input to structured fields, and the application includes guardrails to limit submission of unstructured narrative content.</w:t>
      </w:r>
    </w:p>
    <w:p w14:paraId="56B87CE2" w14:textId="77777777" w:rsidR="00E22E51" w:rsidRDefault="00000000">
      <w:pPr>
        <w:pStyle w:val="Heading1"/>
      </w:pPr>
      <w:r>
        <w:t>5. AI Governance</w:t>
      </w:r>
    </w:p>
    <w:p w14:paraId="7E9BE043" w14:textId="77777777" w:rsidR="00E22E51" w:rsidRDefault="00000000">
      <w:pPr>
        <w:pStyle w:val="Heading2"/>
      </w:pPr>
      <w:r>
        <w:t>5.1 Feature Enablement</w:t>
      </w:r>
    </w:p>
    <w:p w14:paraId="3CF75557" w14:textId="77777777" w:rsidR="00E22E51" w:rsidRDefault="00000000" w:rsidP="00BE3B20">
      <w:pPr>
        <w:pStyle w:val="ListParagraph"/>
        <w:numPr>
          <w:ilvl w:val="0"/>
          <w:numId w:val="9"/>
        </w:numPr>
        <w:spacing w:after="80" w:line="276" w:lineRule="auto"/>
      </w:pPr>
      <w:r>
        <w:t>AI features are optional modules enabled per-school via the Platform administration settings</w:t>
      </w:r>
    </w:p>
    <w:p w14:paraId="7791ACC4" w14:textId="77777777" w:rsidR="00E22E51" w:rsidRDefault="00000000" w:rsidP="00BE3B20">
      <w:pPr>
        <w:pStyle w:val="ListParagraph"/>
        <w:numPr>
          <w:ilvl w:val="0"/>
          <w:numId w:val="9"/>
        </w:numPr>
        <w:spacing w:after="80" w:line="276" w:lineRule="auto"/>
      </w:pPr>
      <w:r>
        <w:t>Schools must affirmatively opt in to each AI feature. Features are never activated by default</w:t>
      </w:r>
    </w:p>
    <w:p w14:paraId="2A9DC3F4" w14:textId="77777777" w:rsidR="00E22E51" w:rsidRDefault="00000000" w:rsidP="00BE3B20">
      <w:pPr>
        <w:pStyle w:val="ListParagraph"/>
        <w:numPr>
          <w:ilvl w:val="0"/>
          <w:numId w:val="9"/>
        </w:numPr>
        <w:spacing w:after="80" w:line="276" w:lineRule="auto"/>
      </w:pPr>
      <w:r>
        <w:t>Schools may disable any AI feature at any time, with immediate effect</w:t>
      </w:r>
    </w:p>
    <w:p w14:paraId="01733EF0" w14:textId="77777777" w:rsidR="00E22E51" w:rsidRDefault="00000000" w:rsidP="00BE3B20">
      <w:pPr>
        <w:pStyle w:val="ListParagraph"/>
        <w:numPr>
          <w:ilvl w:val="0"/>
          <w:numId w:val="9"/>
        </w:numPr>
        <w:spacing w:after="80" w:line="276" w:lineRule="auto"/>
      </w:pPr>
      <w:r>
        <w:lastRenderedPageBreak/>
        <w:t>Disabling an AI feature does not affect previously saved outputs (these remain in the school’s data unless deleted by the school)</w:t>
      </w:r>
    </w:p>
    <w:p w14:paraId="3D4221C1" w14:textId="77777777" w:rsidR="00E22E51" w:rsidRDefault="00000000">
      <w:pPr>
        <w:pStyle w:val="Heading2"/>
      </w:pPr>
      <w:r>
        <w:t>5.2 Logging and Auditability</w:t>
      </w:r>
    </w:p>
    <w:p w14:paraId="2D15B52B" w14:textId="77777777" w:rsidR="00E22E51" w:rsidRDefault="00000000" w:rsidP="00BE3B20">
      <w:pPr>
        <w:pStyle w:val="ListParagraph"/>
        <w:numPr>
          <w:ilvl w:val="0"/>
          <w:numId w:val="10"/>
        </w:numPr>
        <w:spacing w:after="80" w:line="276" w:lineRule="auto"/>
      </w:pPr>
      <w:r>
        <w:t xml:space="preserve">All AI feature invocations are logged </w:t>
      </w:r>
      <w:proofErr w:type="gramStart"/>
      <w:r>
        <w:t>with:</w:t>
      </w:r>
      <w:proofErr w:type="gramEnd"/>
      <w:r>
        <w:t xml:space="preserve"> timestamp, user ID, feature name, and the tokenised prompt hash (not the prompt content)</w:t>
      </w:r>
    </w:p>
    <w:p w14:paraId="34D3FF93" w14:textId="77777777" w:rsidR="00E22E51" w:rsidRDefault="00000000" w:rsidP="00BE3B20">
      <w:pPr>
        <w:pStyle w:val="ListParagraph"/>
        <w:numPr>
          <w:ilvl w:val="0"/>
          <w:numId w:val="10"/>
        </w:numPr>
        <w:spacing w:after="80" w:line="276" w:lineRule="auto"/>
      </w:pPr>
      <w:r>
        <w:t>Logs are retained for 13 months (ensures coverage of annual audit cycles and seasonal safeguarding reviews)</w:t>
      </w:r>
    </w:p>
    <w:p w14:paraId="440072C8" w14:textId="77777777" w:rsidR="00E22E51" w:rsidRDefault="00000000" w:rsidP="00BE3B20">
      <w:pPr>
        <w:pStyle w:val="ListParagraph"/>
        <w:numPr>
          <w:ilvl w:val="0"/>
          <w:numId w:val="10"/>
        </w:numPr>
        <w:spacing w:after="80" w:line="276" w:lineRule="auto"/>
      </w:pPr>
      <w:r>
        <w:t>Logs are available to the school’s designated administrators on request</w:t>
      </w:r>
    </w:p>
    <w:p w14:paraId="60404E54" w14:textId="77777777" w:rsidR="00E22E51" w:rsidRDefault="00000000" w:rsidP="00BE3B20">
      <w:pPr>
        <w:pStyle w:val="ListParagraph"/>
        <w:numPr>
          <w:ilvl w:val="0"/>
          <w:numId w:val="10"/>
        </w:numPr>
        <w:spacing w:after="80" w:line="276" w:lineRule="auto"/>
      </w:pPr>
      <w:r>
        <w:t>No AI outputs are shared between schools. Each school’s AI processing is fully isolated</w:t>
      </w:r>
    </w:p>
    <w:p w14:paraId="1E09C708" w14:textId="77777777" w:rsidR="00E22E51" w:rsidRDefault="00000000">
      <w:pPr>
        <w:pStyle w:val="Heading2"/>
      </w:pPr>
      <w:r>
        <w:t>5.3 Model Selection and Change Management</w:t>
      </w:r>
    </w:p>
    <w:p w14:paraId="78254190" w14:textId="77777777" w:rsidR="00E22E51" w:rsidRDefault="00000000" w:rsidP="00BE3B20">
      <w:pPr>
        <w:pStyle w:val="ListParagraph"/>
        <w:numPr>
          <w:ilvl w:val="0"/>
          <w:numId w:val="11"/>
        </w:numPr>
        <w:spacing w:after="80" w:line="276" w:lineRule="auto"/>
      </w:pPr>
      <w:r>
        <w:t>Student Radar currently uses the OpenAI API for AI features</w:t>
      </w:r>
    </w:p>
    <w:p w14:paraId="48513257" w14:textId="77777777" w:rsidR="00E22E51" w:rsidRDefault="00000000" w:rsidP="00BE3B20">
      <w:pPr>
        <w:pStyle w:val="ListParagraph"/>
        <w:numPr>
          <w:ilvl w:val="0"/>
          <w:numId w:val="11"/>
        </w:numPr>
        <w:spacing w:after="80" w:line="276" w:lineRule="auto"/>
      </w:pPr>
      <w:r>
        <w:t>Any change to the underlying AI model, provider, or processing logic is treated as a sub-processor change and subject to the 30-day notification and objection process defined in the DPA and Sub-Processor List</w:t>
      </w:r>
    </w:p>
    <w:p w14:paraId="6E050533" w14:textId="77777777" w:rsidR="00E22E51" w:rsidRDefault="00000000" w:rsidP="00BE3B20">
      <w:pPr>
        <w:pStyle w:val="ListParagraph"/>
        <w:numPr>
          <w:ilvl w:val="0"/>
          <w:numId w:val="11"/>
        </w:numPr>
        <w:spacing w:after="80" w:line="276" w:lineRule="auto"/>
      </w:pPr>
      <w:r>
        <w:t>Model changes are assessed for impact on data protection, accuracy, and bias before deployment</w:t>
      </w:r>
    </w:p>
    <w:p w14:paraId="51A56E50" w14:textId="77777777" w:rsidR="00E22E51" w:rsidRDefault="00000000" w:rsidP="00BE3B20">
      <w:pPr>
        <w:pStyle w:val="ListParagraph"/>
        <w:numPr>
          <w:ilvl w:val="0"/>
          <w:numId w:val="11"/>
        </w:numPr>
        <w:spacing w:after="80" w:line="276" w:lineRule="auto"/>
      </w:pPr>
      <w:r>
        <w:t>Schools are notified of the specific model version in use via the Platform documentation</w:t>
      </w:r>
    </w:p>
    <w:p w14:paraId="5285C568" w14:textId="77777777" w:rsidR="00E22E51" w:rsidRDefault="00000000">
      <w:pPr>
        <w:pStyle w:val="Heading2"/>
      </w:pPr>
      <w:r>
        <w:t>5.4 Limitations and Disclaimers</w:t>
      </w:r>
    </w:p>
    <w:p w14:paraId="70F31885" w14:textId="77777777" w:rsidR="00E22E51" w:rsidRDefault="00000000" w:rsidP="00BE3B20">
      <w:pPr>
        <w:pStyle w:val="ListParagraph"/>
        <w:numPr>
          <w:ilvl w:val="0"/>
          <w:numId w:val="13"/>
        </w:numPr>
        <w:spacing w:after="160" w:line="276" w:lineRule="auto"/>
      </w:pPr>
      <w:r>
        <w:t>AI features have inherent limitations. Student Radar makes the following disclosures:</w:t>
      </w:r>
    </w:p>
    <w:p w14:paraId="39009C2E" w14:textId="77777777" w:rsidR="00E22E51" w:rsidRDefault="00000000" w:rsidP="00BE3B20">
      <w:pPr>
        <w:pStyle w:val="ListParagraph"/>
        <w:numPr>
          <w:ilvl w:val="0"/>
          <w:numId w:val="13"/>
        </w:numPr>
        <w:spacing w:after="80" w:line="276" w:lineRule="auto"/>
      </w:pPr>
      <w:r>
        <w:t>AI outputs may contain inaccuracies, omissions, or inappropriate suggestions</w:t>
      </w:r>
    </w:p>
    <w:p w14:paraId="67745FE8" w14:textId="77777777" w:rsidR="00E22E51" w:rsidRDefault="00000000" w:rsidP="00BE3B20">
      <w:pPr>
        <w:pStyle w:val="ListParagraph"/>
        <w:numPr>
          <w:ilvl w:val="0"/>
          <w:numId w:val="13"/>
        </w:numPr>
        <w:spacing w:after="80" w:line="276" w:lineRule="auto"/>
      </w:pPr>
      <w:r>
        <w:t>AI outputs do not constitute professional advice (educational, medical, legal, safeguarding, or otherwise)</w:t>
      </w:r>
    </w:p>
    <w:p w14:paraId="76904741" w14:textId="77777777" w:rsidR="00E22E51" w:rsidRDefault="00000000" w:rsidP="00BE3B20">
      <w:pPr>
        <w:pStyle w:val="ListParagraph"/>
        <w:numPr>
          <w:ilvl w:val="0"/>
          <w:numId w:val="13"/>
        </w:numPr>
        <w:spacing w:after="80" w:line="276" w:lineRule="auto"/>
      </w:pPr>
      <w:r>
        <w:t>AI outputs should not be the sole basis for any decision affecting a pupil</w:t>
      </w:r>
    </w:p>
    <w:p w14:paraId="180A921C" w14:textId="77777777" w:rsidR="00E22E51" w:rsidRDefault="00000000" w:rsidP="00BE3B20">
      <w:pPr>
        <w:pStyle w:val="ListParagraph"/>
        <w:numPr>
          <w:ilvl w:val="0"/>
          <w:numId w:val="13"/>
        </w:numPr>
        <w:spacing w:after="80" w:line="276" w:lineRule="auto"/>
      </w:pPr>
      <w:r>
        <w:t>The quality of AI outputs depends on the quality and completeness of the underlying data</w:t>
      </w:r>
    </w:p>
    <w:p w14:paraId="6893FBA2" w14:textId="77777777" w:rsidR="00E22E51" w:rsidRDefault="00000000" w:rsidP="00BE3B20">
      <w:pPr>
        <w:pStyle w:val="ListParagraph"/>
        <w:numPr>
          <w:ilvl w:val="0"/>
          <w:numId w:val="13"/>
        </w:numPr>
        <w:spacing w:after="80" w:line="276" w:lineRule="auto"/>
      </w:pPr>
      <w:r>
        <w:t>AI features are not a substitute for professional training, clinical assessment, or statutory processes</w:t>
      </w:r>
    </w:p>
    <w:p w14:paraId="1029704A" w14:textId="77777777" w:rsidR="00E22E51" w:rsidRDefault="00000000" w:rsidP="00BE3B20">
      <w:pPr>
        <w:pStyle w:val="ListParagraph"/>
        <w:numPr>
          <w:ilvl w:val="0"/>
          <w:numId w:val="13"/>
        </w:numPr>
        <w:spacing w:after="80" w:line="276" w:lineRule="auto"/>
      </w:pPr>
      <w:r>
        <w:t>You acknowledge that AI outputs do not constitute professional advice</w:t>
      </w:r>
    </w:p>
    <w:p w14:paraId="20C572B8" w14:textId="77777777" w:rsidR="00E22E51" w:rsidRDefault="00E22E51">
      <w:pPr>
        <w:spacing w:before="400"/>
      </w:pPr>
    </w:p>
    <w:p w14:paraId="51CEBA49" w14:textId="77777777" w:rsidR="00E22E51" w:rsidRDefault="00000000">
      <w:pPr>
        <w:pStyle w:val="Heading1"/>
        <w:spacing w:before="200" w:after="100"/>
        <w:jc w:val="center"/>
      </w:pPr>
      <w:r>
        <w:rPr>
          <w:sz w:val="32"/>
          <w:szCs w:val="32"/>
        </w:rPr>
        <w:t>PART B: INTERNATIONAL DATA TRANSFERS</w:t>
      </w:r>
    </w:p>
    <w:p w14:paraId="02CD5A44" w14:textId="77777777" w:rsidR="00E22E51" w:rsidRDefault="00E22E51">
      <w:pPr>
        <w:spacing w:after="200"/>
      </w:pPr>
    </w:p>
    <w:p w14:paraId="1B0C8AB8" w14:textId="77777777" w:rsidR="00E22E51" w:rsidRDefault="00000000">
      <w:pPr>
        <w:pStyle w:val="Heading1"/>
      </w:pPr>
      <w:r>
        <w:t>6. International Transfer Framework</w:t>
      </w:r>
    </w:p>
    <w:p w14:paraId="4B32682C" w14:textId="77777777" w:rsidR="00E22E51" w:rsidRDefault="00000000">
      <w:pPr>
        <w:spacing w:after="160" w:line="276" w:lineRule="auto"/>
      </w:pPr>
      <w:r>
        <w:lastRenderedPageBreak/>
        <w:t>This section explains how Student Radar manages international transfers of personal data in compliance with Chapter V of the UK GDPR (Articles 44–49) and ICO guidance on international transfers.</w:t>
      </w:r>
    </w:p>
    <w:p w14:paraId="67D33AB8" w14:textId="77777777" w:rsidR="00E22E51" w:rsidRDefault="00000000">
      <w:pPr>
        <w:spacing w:after="160" w:line="276" w:lineRule="auto"/>
      </w:pPr>
      <w:r>
        <w:t xml:space="preserve">Student Radar’s primary data processing infrastructure </w:t>
      </w:r>
      <w:proofErr w:type="gramStart"/>
      <w:r>
        <w:t>is located in</w:t>
      </w:r>
      <w:proofErr w:type="gramEnd"/>
      <w:r>
        <w:t xml:space="preserve"> the United Kingdom (</w:t>
      </w:r>
      <w:proofErr w:type="spellStart"/>
      <w:r>
        <w:t>Supabase</w:t>
      </w:r>
      <w:proofErr w:type="spellEnd"/>
      <w:r>
        <w:t xml:space="preserve"> eu-west-2, London). The majority of Customer Data never leaves the UK. However, certain optional sub-processors and infrastructure components involve processing in the EU or the United States.</w:t>
      </w:r>
    </w:p>
    <w:p w14:paraId="2D80A3C6" w14:textId="77777777" w:rsidR="00E22E51" w:rsidRDefault="00000000">
      <w:pPr>
        <w:pStyle w:val="Heading2"/>
      </w:pPr>
      <w:r>
        <w:t>6.1 Transfer Mechanisms</w:t>
      </w:r>
    </w:p>
    <w:p w14:paraId="3B17B13B" w14:textId="77777777" w:rsidR="00E22E51" w:rsidRDefault="00000000">
      <w:pPr>
        <w:spacing w:after="160" w:line="276" w:lineRule="auto"/>
      </w:pPr>
      <w:r>
        <w:t>Where personal data is transferred outside the United Kingdom, Student Radar relies on the following legally recognised transfer mechanisms: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00"/>
        <w:gridCol w:w="4326"/>
      </w:tblGrid>
      <w:tr w:rsidR="00E22E51" w14:paraId="62071FB4" w14:textId="77777777">
        <w:tblPrEx>
          <w:tblCellMar>
            <w:top w:w="0" w:type="dxa"/>
            <w:bottom w:w="0" w:type="dxa"/>
          </w:tblCellMar>
        </w:tblPrEx>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6F6F728" w14:textId="77777777" w:rsidR="00E22E51" w:rsidRDefault="00000000">
            <w:r>
              <w:rPr>
                <w:b/>
                <w:bCs/>
                <w:color w:val="FFFFFF"/>
              </w:rPr>
              <w:t>Mechanism</w:t>
            </w:r>
          </w:p>
        </w:tc>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B748164" w14:textId="77777777" w:rsidR="00E22E51" w:rsidRDefault="00000000">
            <w:r>
              <w:rPr>
                <w:b/>
                <w:bCs/>
                <w:color w:val="FFFFFF"/>
              </w:rPr>
              <w:t>Legal Basis</w:t>
            </w:r>
          </w:p>
        </w:tc>
        <w:tc>
          <w:tcPr>
            <w:tcW w:w="43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F949438" w14:textId="77777777" w:rsidR="00E22E51" w:rsidRDefault="00000000">
            <w:r>
              <w:rPr>
                <w:b/>
                <w:bCs/>
                <w:color w:val="FFFFFF"/>
              </w:rPr>
              <w:t>Application</w:t>
            </w:r>
          </w:p>
        </w:tc>
      </w:tr>
      <w:tr w:rsidR="00E22E51" w14:paraId="72D9777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5823CB" w14:textId="77777777" w:rsidR="00E22E51" w:rsidRDefault="00000000">
            <w:r>
              <w:rPr>
                <w:color w:val="333333"/>
              </w:rPr>
              <w:t>UK Adequacy Regulations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61EFB3" w14:textId="77777777" w:rsidR="00E22E51" w:rsidRDefault="00000000">
            <w:r>
              <w:rPr>
                <w:color w:val="333333"/>
              </w:rPr>
              <w:t>Article 45 UK GDPR; UK adequacy regulations for the EEA</w:t>
            </w:r>
          </w:p>
        </w:tc>
        <w:tc>
          <w:tcPr>
            <w:tcW w:w="4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356E68" w14:textId="77777777" w:rsidR="00E22E51" w:rsidRDefault="00000000">
            <w:r>
              <w:rPr>
                <w:color w:val="333333"/>
              </w:rPr>
              <w:t xml:space="preserve">Transfers to the European Economic Area (EEA). The UK has recognised the EEA as providing an adequate level of data protection. Applies to: </w:t>
            </w:r>
            <w:proofErr w:type="spellStart"/>
            <w:r>
              <w:rPr>
                <w:color w:val="333333"/>
              </w:rPr>
              <w:t>Vercel</w:t>
            </w:r>
            <w:proofErr w:type="spellEnd"/>
            <w:r>
              <w:rPr>
                <w:color w:val="333333"/>
              </w:rPr>
              <w:t xml:space="preserve"> (EU edge nodes), Sentry (EU), Resend (EU processing)</w:t>
            </w:r>
          </w:p>
        </w:tc>
      </w:tr>
      <w:tr w:rsidR="00E22E51" w14:paraId="709B785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C877A8" w14:textId="77777777" w:rsidR="00E22E51" w:rsidRDefault="00000000">
            <w:r>
              <w:rPr>
                <w:color w:val="333333"/>
              </w:rPr>
              <w:t>Standard Contractual Clauses (SCCs)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A32BB0" w14:textId="77777777" w:rsidR="00E22E51" w:rsidRDefault="00000000">
            <w:r>
              <w:rPr>
                <w:color w:val="333333"/>
              </w:rPr>
              <w:t>Article 46(2)(c) UK GDPR</w:t>
            </w:r>
          </w:p>
        </w:tc>
        <w:tc>
          <w:tcPr>
            <w:tcW w:w="4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CFFFF7" w14:textId="77777777" w:rsidR="00E22E51" w:rsidRDefault="00000000">
            <w:r>
              <w:rPr>
                <w:color w:val="333333"/>
              </w:rPr>
              <w:t>Transfers to the United States where an adequate level of protection has not been established by regulation. SCCs are the European Commission-approved contractual clauses that impose data protection obligations on the data importer. Applies to: OpenAI, Resend (US processing), Twilio (US processing)</w:t>
            </w:r>
          </w:p>
        </w:tc>
      </w:tr>
      <w:tr w:rsidR="00E22E51" w14:paraId="5226794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6400F1" w14:textId="77777777" w:rsidR="00E22E51" w:rsidRDefault="00000000">
            <w:r>
              <w:rPr>
                <w:color w:val="333333"/>
              </w:rPr>
              <w:t>UK International Data Transfer Agreement (IDTA)</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84C988" w14:textId="77777777" w:rsidR="00E22E51" w:rsidRDefault="00000000">
            <w:r>
              <w:rPr>
                <w:color w:val="333333"/>
              </w:rPr>
              <w:t>Article 46 UK GDPR; ICO-approved IDTA</w:t>
            </w:r>
          </w:p>
        </w:tc>
        <w:tc>
          <w:tcPr>
            <w:tcW w:w="4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345825" w14:textId="77777777" w:rsidR="00E22E51" w:rsidRDefault="00000000">
            <w:r>
              <w:rPr>
                <w:color w:val="333333"/>
              </w:rPr>
              <w:t>The UK-specific alternative to SCCs, approved by the ICO. Used alongside or instead of SCCs for transfers from the UK. Applies to: OpenAI, Resend, Twilio</w:t>
            </w:r>
          </w:p>
        </w:tc>
      </w:tr>
      <w:tr w:rsidR="00E22E51" w14:paraId="607562A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087489" w14:textId="77777777" w:rsidR="00E22E51" w:rsidRDefault="00000000">
            <w:r>
              <w:rPr>
                <w:color w:val="333333"/>
              </w:rPr>
              <w:t>UK Addendum to EU SCCs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6B8562" w14:textId="77777777" w:rsidR="00E22E51" w:rsidRDefault="00000000">
            <w:r>
              <w:rPr>
                <w:color w:val="333333"/>
              </w:rPr>
              <w:t>ICO-approved addendum</w:t>
            </w:r>
          </w:p>
        </w:tc>
        <w:tc>
          <w:tcPr>
            <w:tcW w:w="4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E8E3BB" w14:textId="77777777" w:rsidR="00E22E51" w:rsidRDefault="00000000">
            <w:r>
              <w:rPr>
                <w:color w:val="333333"/>
              </w:rPr>
              <w:t>Where a sub-processor uses EU SCCs, the UK Addendum extends their protection to cover UK-originating data. Applied where the sub-processor’s standard DPA references EU SCCs without a standalone IDTA</w:t>
            </w:r>
          </w:p>
        </w:tc>
      </w:tr>
      <w:tr w:rsidR="00E22E51" w14:paraId="7FAF940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57C70B" w14:textId="77777777" w:rsidR="00E22E51" w:rsidRDefault="00000000">
            <w:r>
              <w:rPr>
                <w:color w:val="333333"/>
              </w:rPr>
              <w:t>Binding Corporate Rules (BCRs)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7BA0F3" w14:textId="77777777" w:rsidR="00E22E51" w:rsidRDefault="00000000">
            <w:r>
              <w:rPr>
                <w:color w:val="333333"/>
              </w:rPr>
              <w:t>Article 47 UK GDPR</w:t>
            </w:r>
          </w:p>
        </w:tc>
        <w:tc>
          <w:tcPr>
            <w:tcW w:w="4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DA6DB5" w14:textId="77777777" w:rsidR="00E22E51" w:rsidRDefault="00000000">
            <w:r>
              <w:rPr>
                <w:color w:val="333333"/>
              </w:rPr>
              <w:t>Twilio has approved Binding Corporate Rules that provide an additional layer of protection for intra-group international transfers</w:t>
            </w:r>
          </w:p>
        </w:tc>
      </w:tr>
    </w:tbl>
    <w:p w14:paraId="0DCE4070" w14:textId="77777777" w:rsidR="00E22E51" w:rsidRDefault="00E22E51">
      <w:pPr>
        <w:spacing w:after="200"/>
      </w:pPr>
    </w:p>
    <w:p w14:paraId="3C8ABA37" w14:textId="77777777" w:rsidR="00E22E51" w:rsidRDefault="00000000">
      <w:pPr>
        <w:pStyle w:val="Heading1"/>
      </w:pPr>
      <w:r>
        <w:t>7. Transfer Map</w:t>
      </w:r>
    </w:p>
    <w:p w14:paraId="3116AC4B" w14:textId="77777777" w:rsidR="00E22E51" w:rsidRDefault="00000000">
      <w:pPr>
        <w:spacing w:after="160" w:line="276" w:lineRule="auto"/>
      </w:pPr>
      <w:r>
        <w:t>The following table summarises the data transfer position for each sub-processor: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8"/>
        <w:gridCol w:w="1284"/>
        <w:gridCol w:w="1158"/>
        <w:gridCol w:w="1344"/>
        <w:gridCol w:w="2081"/>
        <w:gridCol w:w="1931"/>
      </w:tblGrid>
      <w:tr w:rsidR="00E22E51" w14:paraId="17394279" w14:textId="77777777">
        <w:tblPrEx>
          <w:tblCellMar>
            <w:top w:w="0" w:type="dxa"/>
            <w:bottom w:w="0" w:type="dxa"/>
          </w:tblCellMar>
        </w:tblPrEx>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DDC8AB1" w14:textId="77777777" w:rsidR="00E22E51" w:rsidRDefault="00000000">
            <w:r>
              <w:rPr>
                <w:b/>
                <w:bCs/>
                <w:color w:val="FFFFFF"/>
              </w:rPr>
              <w:lastRenderedPageBreak/>
              <w:t>Sub-Processor</w:t>
            </w:r>
          </w:p>
        </w:tc>
        <w:tc>
          <w:tcPr>
            <w:tcW w:w="13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0C19327" w14:textId="77777777" w:rsidR="00E22E51" w:rsidRDefault="00000000">
            <w:r>
              <w:rPr>
                <w:b/>
                <w:bCs/>
                <w:color w:val="FFFFFF"/>
              </w:rPr>
              <w:t>Data Location</w:t>
            </w:r>
          </w:p>
        </w:tc>
        <w:tc>
          <w:tcPr>
            <w:tcW w:w="11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D36F365" w14:textId="77777777" w:rsidR="00E22E51" w:rsidRDefault="00000000">
            <w:r>
              <w:rPr>
                <w:b/>
                <w:bCs/>
                <w:color w:val="FFFFFF"/>
              </w:rPr>
              <w:t>Transfers Outside UK?</w:t>
            </w:r>
          </w:p>
        </w:tc>
        <w:tc>
          <w:tcPr>
            <w:tcW w:w="13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0243453" w14:textId="77777777" w:rsidR="00E22E51" w:rsidRDefault="00000000">
            <w:r>
              <w:rPr>
                <w:b/>
                <w:bCs/>
                <w:color w:val="FFFFFF"/>
              </w:rPr>
              <w:t>Transfer Mechanism</w:t>
            </w:r>
          </w:p>
        </w:tc>
        <w:tc>
          <w:tcPr>
            <w:tcW w:w="21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7F80456" w14:textId="77777777" w:rsidR="00E22E51" w:rsidRDefault="00000000">
            <w:r>
              <w:rPr>
                <w:b/>
                <w:bCs/>
                <w:color w:val="FFFFFF"/>
              </w:rPr>
              <w:t>Data Transferred</w:t>
            </w:r>
          </w:p>
        </w:tc>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0CB02DA" w14:textId="77777777" w:rsidR="00E22E51" w:rsidRDefault="00000000">
            <w:r>
              <w:rPr>
                <w:b/>
                <w:bCs/>
                <w:color w:val="FFFFFF"/>
              </w:rPr>
              <w:t>Risk Level</w:t>
            </w:r>
          </w:p>
        </w:tc>
      </w:tr>
      <w:tr w:rsidR="00E22E51" w14:paraId="7A4FED3A"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B7EBFC" w14:textId="77777777" w:rsidR="00E22E51" w:rsidRDefault="00000000">
            <w:proofErr w:type="spellStart"/>
            <w:r>
              <w:rPr>
                <w:color w:val="333333"/>
              </w:rPr>
              <w:t>Supabase</w:t>
            </w:r>
            <w:proofErr w:type="spellEnd"/>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E4D5B9" w14:textId="77777777" w:rsidR="00E22E51" w:rsidRDefault="00000000">
            <w:r>
              <w:rPr>
                <w:color w:val="333333"/>
              </w:rPr>
              <w:t>UK (eu-west-2, London)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E7F65F" w14:textId="77777777" w:rsidR="00E22E51" w:rsidRDefault="00000000">
            <w:r>
              <w:rPr>
                <w:color w:val="333333"/>
              </w:rPr>
              <w:t>No</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E35E06" w14:textId="77777777" w:rsidR="00E22E51" w:rsidRDefault="00000000">
            <w:r>
              <w:rPr>
                <w:color w:val="333333"/>
              </w:rPr>
              <w:t>N/A – UK only</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9AD8E9" w14:textId="77777777" w:rsidR="00E22E51" w:rsidRDefault="00000000">
            <w:r>
              <w:rPr>
                <w:color w:val="333333"/>
              </w:rPr>
              <w:t>All Customer Data (database, auth, storage, backups)</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802D20" w14:textId="77777777" w:rsidR="00E22E51" w:rsidRDefault="00000000">
            <w:r>
              <w:rPr>
                <w:color w:val="333333"/>
              </w:rPr>
              <w:t>Low – no transfer</w:t>
            </w:r>
          </w:p>
        </w:tc>
      </w:tr>
      <w:tr w:rsidR="00E22E51" w14:paraId="6C7169E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4CCAA5" w14:textId="77777777" w:rsidR="00E22E51" w:rsidRDefault="00000000">
            <w:proofErr w:type="spellStart"/>
            <w:r>
              <w:rPr>
                <w:color w:val="333333"/>
              </w:rPr>
              <w:t>Vercel</w:t>
            </w:r>
            <w:proofErr w:type="spellEnd"/>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071075" w14:textId="77777777" w:rsidR="00E22E51" w:rsidRDefault="00000000">
            <w:r>
              <w:rPr>
                <w:color w:val="333333"/>
              </w:rPr>
              <w:t>EU (Frankfurt / London edge)</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0F1D4B" w14:textId="77777777" w:rsidR="00E22E51" w:rsidRDefault="00000000">
            <w:r>
              <w:rPr>
                <w:color w:val="333333"/>
              </w:rPr>
              <w:t>No (EU adequate)</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E36FFB" w14:textId="77777777" w:rsidR="00E22E51" w:rsidRDefault="00000000">
            <w:r>
              <w:rPr>
                <w:color w:val="333333"/>
              </w:rPr>
              <w:t>UK Adequacy Regulations</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4BD0B0" w14:textId="77777777" w:rsidR="00E22E51" w:rsidRDefault="00000000">
            <w:r>
              <w:rPr>
                <w:color w:val="333333"/>
              </w:rPr>
              <w:t>Transient API processing only. No persistent Customer Data stored</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91EE58" w14:textId="77777777" w:rsidR="00E22E51" w:rsidRDefault="00000000">
            <w:r>
              <w:rPr>
                <w:color w:val="333333"/>
              </w:rPr>
              <w:t>Low – EU adequate; transient only</w:t>
            </w:r>
          </w:p>
        </w:tc>
      </w:tr>
      <w:tr w:rsidR="00E22E51" w14:paraId="364F4CEA"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F99FA2" w14:textId="77777777" w:rsidR="00E22E51" w:rsidRDefault="00000000">
            <w:r>
              <w:rPr>
                <w:color w:val="333333"/>
              </w:rPr>
              <w:t>Wonde</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6DF153" w14:textId="77777777" w:rsidR="00E22E51" w:rsidRDefault="00000000">
            <w:r>
              <w:rPr>
                <w:color w:val="333333"/>
              </w:rPr>
              <w:t>UK</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CFF76F" w14:textId="77777777" w:rsidR="00E22E51" w:rsidRDefault="00000000">
            <w:r>
              <w:rPr>
                <w:color w:val="333333"/>
              </w:rPr>
              <w:t>No</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5447F3" w14:textId="77777777" w:rsidR="00E22E51" w:rsidRDefault="00000000">
            <w:r>
              <w:rPr>
                <w:color w:val="333333"/>
              </w:rPr>
              <w:t>N/A – UK only</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58FAF5" w14:textId="77777777" w:rsidR="00E22E51" w:rsidRDefault="00000000">
            <w:r>
              <w:rPr>
                <w:color w:val="333333"/>
              </w:rPr>
              <w:t>MIS sync data (pupil demographics, SEN, attendance, staff)</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A0865B" w14:textId="77777777" w:rsidR="00E22E51" w:rsidRDefault="00000000">
            <w:r>
              <w:rPr>
                <w:color w:val="333333"/>
              </w:rPr>
              <w:t>Low – no transfer</w:t>
            </w:r>
          </w:p>
        </w:tc>
      </w:tr>
      <w:tr w:rsidR="00E22E51" w14:paraId="21D967B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469097" w14:textId="77777777" w:rsidR="00E22E51" w:rsidRDefault="00000000">
            <w:r>
              <w:rPr>
                <w:color w:val="333333"/>
              </w:rPr>
              <w:t>Resend</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25B3B0" w14:textId="77777777" w:rsidR="00E22E51" w:rsidRDefault="00000000">
            <w:r>
              <w:rPr>
                <w:color w:val="333333"/>
              </w:rPr>
              <w:t>EU / US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6B680A" w14:textId="77777777" w:rsidR="00E22E51" w:rsidRDefault="00000000">
            <w:r>
              <w:rPr>
                <w:color w:val="333333"/>
              </w:rPr>
              <w:t>Yes (US)</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832045" w14:textId="77777777" w:rsidR="00E22E51" w:rsidRDefault="00000000">
            <w:r>
              <w:rPr>
                <w:color w:val="333333"/>
              </w:rPr>
              <w:t>SCCs / UK IDTA</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79F2B3" w14:textId="77777777" w:rsidR="00E22E51" w:rsidRDefault="00000000">
            <w:r>
              <w:rPr>
                <w:color w:val="333333"/>
              </w:rPr>
              <w:t>Recipient email, subject, delivery status. No pupil data in body unless configured by Customer</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608BA0" w14:textId="77777777" w:rsidR="00E22E51" w:rsidRDefault="00000000">
            <w:r>
              <w:rPr>
                <w:color w:val="333333"/>
              </w:rPr>
              <w:t>Medium – limited data; SCCs in place</w:t>
            </w:r>
          </w:p>
        </w:tc>
      </w:tr>
      <w:tr w:rsidR="00E22E51" w14:paraId="73D4505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6CDB95" w14:textId="77777777" w:rsidR="00E22E51" w:rsidRDefault="00000000">
            <w:r>
              <w:rPr>
                <w:color w:val="333333"/>
              </w:rPr>
              <w:t>Twilio</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309F85" w14:textId="77777777" w:rsidR="00E22E51" w:rsidRDefault="00000000">
            <w:r>
              <w:rPr>
                <w:color w:val="333333"/>
              </w:rPr>
              <w:t>EU / US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649A97" w14:textId="77777777" w:rsidR="00E22E51" w:rsidRDefault="00000000">
            <w:r>
              <w:rPr>
                <w:color w:val="333333"/>
              </w:rPr>
              <w:t>Yes (US)</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8B748F" w14:textId="77777777" w:rsidR="00E22E51" w:rsidRDefault="00000000">
            <w:r>
              <w:rPr>
                <w:color w:val="333333"/>
              </w:rPr>
              <w:t>SCCs / UK IDTA; BCRs</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038CC2" w14:textId="77777777" w:rsidR="00E22E51" w:rsidRDefault="00000000">
            <w:r>
              <w:rPr>
                <w:color w:val="333333"/>
              </w:rPr>
              <w:t>Recipient phone number, message content, delivery status</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3BBD27" w14:textId="77777777" w:rsidR="00E22E51" w:rsidRDefault="00000000">
            <w:r>
              <w:rPr>
                <w:color w:val="333333"/>
              </w:rPr>
              <w:t>Medium – limited data; BCRs + SCCs</w:t>
            </w:r>
          </w:p>
        </w:tc>
      </w:tr>
      <w:tr w:rsidR="00E22E51" w14:paraId="12BF577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1BFFC4" w14:textId="77777777" w:rsidR="00E22E51" w:rsidRDefault="00000000">
            <w:r>
              <w:rPr>
                <w:color w:val="333333"/>
              </w:rPr>
              <w:t>OpenAI</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2FBEF8" w14:textId="77777777" w:rsidR="00E22E51" w:rsidRDefault="00000000">
            <w:r>
              <w:rPr>
                <w:color w:val="333333"/>
              </w:rPr>
              <w:t>EU / US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BE15D9" w14:textId="77777777" w:rsidR="00E22E51" w:rsidRDefault="00000000">
            <w:r>
              <w:rPr>
                <w:color w:val="333333"/>
              </w:rPr>
              <w:t>Yes (US)</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58F2F0" w14:textId="77777777" w:rsidR="00E22E51" w:rsidRDefault="00000000">
            <w:r>
              <w:rPr>
                <w:color w:val="333333"/>
              </w:rPr>
              <w:t>SCCs / UK IDTA</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6C9124" w14:textId="77777777" w:rsidR="00E22E51" w:rsidRDefault="00000000">
            <w:r>
              <w:rPr>
                <w:color w:val="333333"/>
              </w:rPr>
              <w:t>Tokenised data only. Zero-retention API. No raw PII transmitted</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008F583" w14:textId="77777777" w:rsidR="00E22E51" w:rsidRDefault="00000000">
            <w:r>
              <w:rPr>
                <w:color w:val="333333"/>
              </w:rPr>
              <w:t>Medium-Low – tokenised; zero-retention</w:t>
            </w:r>
          </w:p>
        </w:tc>
      </w:tr>
      <w:tr w:rsidR="00E22E51" w14:paraId="42DB5157"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8C3964" w14:textId="77777777" w:rsidR="00E22E51" w:rsidRDefault="00000000">
            <w:r>
              <w:rPr>
                <w:color w:val="333333"/>
              </w:rPr>
              <w:t>Sentry</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828926" w14:textId="77777777" w:rsidR="00E22E51" w:rsidRDefault="00000000">
            <w:r>
              <w:rPr>
                <w:color w:val="333333"/>
              </w:rPr>
              <w:t>EU</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D425C9" w14:textId="77777777" w:rsidR="00E22E51" w:rsidRDefault="00000000">
            <w:r>
              <w:rPr>
                <w:color w:val="333333"/>
              </w:rPr>
              <w:t>No (EU adequate)</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BA6596" w14:textId="77777777" w:rsidR="00E22E51" w:rsidRDefault="00000000">
            <w:r>
              <w:rPr>
                <w:color w:val="333333"/>
              </w:rPr>
              <w:t>UK Adequacy Regulations</w:t>
            </w:r>
          </w:p>
        </w:tc>
        <w:tc>
          <w:tcPr>
            <w:tcW w:w="21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815F7" w14:textId="77777777" w:rsidR="00E22E51" w:rsidRDefault="00000000">
            <w:r>
              <w:rPr>
                <w:color w:val="333333"/>
              </w:rPr>
              <w:t>Error traces, performance metrics. PII excluded from payloads</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CF82D7" w14:textId="77777777" w:rsidR="00E22E51" w:rsidRDefault="00000000">
            <w:r>
              <w:rPr>
                <w:color w:val="333333"/>
              </w:rPr>
              <w:t>Low – EU adequate; no PII</w:t>
            </w:r>
          </w:p>
        </w:tc>
      </w:tr>
    </w:tbl>
    <w:p w14:paraId="72CC4B46" w14:textId="77777777" w:rsidR="00E22E51" w:rsidRDefault="00E22E51">
      <w:pPr>
        <w:spacing w:after="200"/>
      </w:pPr>
    </w:p>
    <w:p w14:paraId="2270A003" w14:textId="77777777" w:rsidR="00E22E51" w:rsidRDefault="00000000">
      <w:pPr>
        <w:pStyle w:val="Heading1"/>
      </w:pPr>
      <w:r>
        <w:t>8. Transfer Impact Assessments</w:t>
      </w:r>
    </w:p>
    <w:p w14:paraId="55B75600" w14:textId="77777777" w:rsidR="00E22E51" w:rsidRDefault="00000000">
      <w:pPr>
        <w:spacing w:after="160" w:line="276" w:lineRule="auto"/>
      </w:pPr>
      <w:r>
        <w:t>In accordance with ICO guidance and the Schrems II judgement principles adopted into UK law, Student Radar conducts Transfer Impact Assessments (“TIAs”) for each international transfer. A TIA evaluates whether the legal framework and practical circumstances in the recipient country provide an essentially equivalent level of protection to that guaranteed under UK GDPR.</w:t>
      </w:r>
    </w:p>
    <w:p w14:paraId="756B1FB4" w14:textId="77777777" w:rsidR="00E22E51" w:rsidRDefault="00000000">
      <w:pPr>
        <w:pStyle w:val="Heading2"/>
      </w:pPr>
      <w:r>
        <w:t>8.1 TIA Methodology</w:t>
      </w:r>
    </w:p>
    <w:p w14:paraId="29AC3733" w14:textId="77777777" w:rsidR="00E22E51" w:rsidRDefault="00000000">
      <w:pPr>
        <w:spacing w:after="160" w:line="276" w:lineRule="auto"/>
      </w:pPr>
      <w:r>
        <w:t>Each TIA considers:</w:t>
      </w:r>
    </w:p>
    <w:p w14:paraId="4ECE6E47" w14:textId="77777777" w:rsidR="00E22E51" w:rsidRDefault="00000000" w:rsidP="00BE3B20">
      <w:pPr>
        <w:pStyle w:val="ListParagraph"/>
        <w:numPr>
          <w:ilvl w:val="0"/>
          <w:numId w:val="14"/>
        </w:numPr>
        <w:spacing w:after="80" w:line="276" w:lineRule="auto"/>
      </w:pPr>
      <w:r>
        <w:lastRenderedPageBreak/>
        <w:t>The nature and sensitivity of the data being transferred</w:t>
      </w:r>
    </w:p>
    <w:p w14:paraId="60696FF5" w14:textId="77777777" w:rsidR="00E22E51" w:rsidRDefault="00000000" w:rsidP="00BE3B20">
      <w:pPr>
        <w:pStyle w:val="ListParagraph"/>
        <w:numPr>
          <w:ilvl w:val="0"/>
          <w:numId w:val="14"/>
        </w:numPr>
        <w:spacing w:after="80" w:line="276" w:lineRule="auto"/>
      </w:pPr>
      <w:r>
        <w:t>The volume and frequency of transfers</w:t>
      </w:r>
    </w:p>
    <w:p w14:paraId="47F905DC" w14:textId="77777777" w:rsidR="00E22E51" w:rsidRDefault="00000000" w:rsidP="00BE3B20">
      <w:pPr>
        <w:pStyle w:val="ListParagraph"/>
        <w:numPr>
          <w:ilvl w:val="0"/>
          <w:numId w:val="14"/>
        </w:numPr>
        <w:spacing w:after="80" w:line="276" w:lineRule="auto"/>
      </w:pPr>
      <w:r>
        <w:t>The legal framework of the recipient country, including government access laws</w:t>
      </w:r>
    </w:p>
    <w:p w14:paraId="3762AC6D" w14:textId="77777777" w:rsidR="00E22E51" w:rsidRDefault="00000000" w:rsidP="00BE3B20">
      <w:pPr>
        <w:pStyle w:val="ListParagraph"/>
        <w:numPr>
          <w:ilvl w:val="0"/>
          <w:numId w:val="14"/>
        </w:numPr>
        <w:spacing w:after="80" w:line="276" w:lineRule="auto"/>
      </w:pPr>
      <w:r>
        <w:t>Whether supplementary measures (technical, contractual, or organisational) are in place to mitigate identified risks</w:t>
      </w:r>
    </w:p>
    <w:p w14:paraId="5F7DB3D4" w14:textId="77777777" w:rsidR="00E22E51" w:rsidRDefault="00000000" w:rsidP="00BE3B20">
      <w:pPr>
        <w:pStyle w:val="ListParagraph"/>
        <w:numPr>
          <w:ilvl w:val="0"/>
          <w:numId w:val="14"/>
        </w:numPr>
        <w:spacing w:after="80" w:line="276" w:lineRule="auto"/>
      </w:pPr>
      <w:r>
        <w:t>The specific protections offered by the transfer mechanism (SCCs, IDTA, BCRs)</w:t>
      </w:r>
    </w:p>
    <w:p w14:paraId="7468AADF" w14:textId="77777777" w:rsidR="00E22E51" w:rsidRDefault="00000000" w:rsidP="00BE3B20">
      <w:pPr>
        <w:pStyle w:val="ListParagraph"/>
        <w:numPr>
          <w:ilvl w:val="0"/>
          <w:numId w:val="14"/>
        </w:numPr>
        <w:spacing w:after="80" w:line="276" w:lineRule="auto"/>
      </w:pPr>
      <w:r>
        <w:t>The practical enforceability of data subject rights in the recipient country</w:t>
      </w:r>
    </w:p>
    <w:p w14:paraId="6E702B90" w14:textId="77777777" w:rsidR="00E22E51" w:rsidRDefault="00000000">
      <w:pPr>
        <w:pStyle w:val="Heading2"/>
      </w:pPr>
      <w:r>
        <w:t>8.2 United States – Supplementary Measures</w:t>
      </w:r>
    </w:p>
    <w:p w14:paraId="60442B92" w14:textId="77777777" w:rsidR="00E22E51" w:rsidRDefault="00000000">
      <w:pPr>
        <w:spacing w:after="160" w:line="276" w:lineRule="auto"/>
      </w:pPr>
      <w:r>
        <w:t>For transfers to the United States, the following supplementary measures are in place in addition to SCCs/IDTA: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8"/>
        <w:gridCol w:w="1555"/>
        <w:gridCol w:w="5313"/>
      </w:tblGrid>
      <w:tr w:rsidR="00E22E51" w14:paraId="7FEF9C8D"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2486E69" w14:textId="77777777" w:rsidR="00E22E51" w:rsidRDefault="00000000">
            <w:r>
              <w:rPr>
                <w:b/>
                <w:bCs/>
                <w:color w:val="FFFFFF"/>
              </w:rPr>
              <w:t>Measure</w:t>
            </w:r>
          </w:p>
        </w:tc>
        <w:tc>
          <w:tcPr>
            <w:tcW w:w="13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FC07AFA" w14:textId="77777777" w:rsidR="00E22E51" w:rsidRDefault="00000000">
            <w:r>
              <w:rPr>
                <w:b/>
                <w:bCs/>
                <w:color w:val="FFFFFF"/>
              </w:rPr>
              <w:t>Type</w:t>
            </w:r>
          </w:p>
        </w:tc>
        <w:tc>
          <w:tcPr>
            <w:tcW w:w="5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63A9194" w14:textId="77777777" w:rsidR="00E22E51" w:rsidRDefault="00000000">
            <w:r>
              <w:rPr>
                <w:b/>
                <w:bCs/>
                <w:color w:val="FFFFFF"/>
              </w:rPr>
              <w:t>Description</w:t>
            </w:r>
          </w:p>
        </w:tc>
      </w:tr>
      <w:tr w:rsidR="00E22E51" w14:paraId="0C297AB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55B97F" w14:textId="77777777" w:rsidR="00E22E51" w:rsidRDefault="00000000">
            <w:r>
              <w:rPr>
                <w:color w:val="333333"/>
              </w:rPr>
              <w:t>Tokenisation (OpenAI)</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BA02BF" w14:textId="77777777" w:rsidR="00E22E51" w:rsidRDefault="00000000">
            <w:r>
              <w:rPr>
                <w:color w:val="333333"/>
              </w:rPr>
              <w:t>Technical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08296A" w14:textId="77777777" w:rsidR="00E22E51" w:rsidRDefault="00000000">
            <w:r>
              <w:rPr>
                <w:color w:val="333333"/>
              </w:rPr>
              <w:t>Personal data is tokenised before transmission. OpenAI receives no raw PII. Even if intercepted or subject to a lawful access request, the tokenised data cannot be linked to an individual without access to the tokenisation key held by Student Radar</w:t>
            </w:r>
          </w:p>
        </w:tc>
      </w:tr>
      <w:tr w:rsidR="00E22E51" w14:paraId="21A9BCF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5467BD" w14:textId="77777777" w:rsidR="00E22E51" w:rsidRDefault="00000000">
            <w:r>
              <w:rPr>
                <w:color w:val="333333"/>
              </w:rPr>
              <w:t>Zero-retention API (OpenAI)</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1C812B" w14:textId="77777777" w:rsidR="00E22E51" w:rsidRDefault="00000000">
            <w:r>
              <w:rPr>
                <w:color w:val="333333"/>
              </w:rPr>
              <w:t>Contractual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9441B7" w14:textId="77777777" w:rsidR="00E22E51" w:rsidRDefault="00000000">
            <w:r>
              <w:rPr>
                <w:color w:val="333333"/>
              </w:rPr>
              <w:t>OpenAI contractually commits to not retaining API inputs or outputs beyond the duration of the API request and to not using data for training or improvement</w:t>
            </w:r>
          </w:p>
        </w:tc>
      </w:tr>
      <w:tr w:rsidR="00E22E51" w14:paraId="780E25B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C2D4AE" w14:textId="77777777" w:rsidR="00E22E51" w:rsidRDefault="00000000">
            <w:r>
              <w:rPr>
                <w:color w:val="333333"/>
              </w:rPr>
              <w:t>Encryption in transit</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65CA3C" w14:textId="77777777" w:rsidR="00E22E51" w:rsidRDefault="00000000">
            <w:r>
              <w:rPr>
                <w:color w:val="333333"/>
              </w:rPr>
              <w:t>Technical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0C5462" w14:textId="77777777" w:rsidR="00E22E51" w:rsidRDefault="00000000">
            <w:r>
              <w:rPr>
                <w:color w:val="333333"/>
              </w:rPr>
              <w:t>All transfers use TLS 1.2+ (typically TLS 1.3). Data is encrypted end-to-end between Student Radar’s infrastructure and the sub-processor</w:t>
            </w:r>
          </w:p>
        </w:tc>
      </w:tr>
      <w:tr w:rsidR="00E22E51" w14:paraId="2D66528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C9CFD2" w14:textId="77777777" w:rsidR="00E22E51" w:rsidRDefault="00000000">
            <w:r>
              <w:rPr>
                <w:color w:val="333333"/>
              </w:rPr>
              <w:t>Data minimisation</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368C2C" w14:textId="77777777" w:rsidR="00E22E51" w:rsidRDefault="00000000">
            <w:r>
              <w:rPr>
                <w:color w:val="333333"/>
              </w:rPr>
              <w:t>Organisational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AC4881" w14:textId="77777777" w:rsidR="00E22E51" w:rsidRDefault="00000000">
            <w:r>
              <w:rPr>
                <w:color w:val="333333"/>
              </w:rPr>
              <w:t>Only the minimum data necessary for the specific processing purpose is transferred. Email notifications contain the recipient address and subject only; SMS contains the phone number and message only</w:t>
            </w:r>
          </w:p>
        </w:tc>
      </w:tr>
      <w:tr w:rsidR="00E22E51" w14:paraId="7B1466F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78104E" w14:textId="77777777" w:rsidR="00E22E51" w:rsidRDefault="00000000">
            <w:r>
              <w:rPr>
                <w:color w:val="333333"/>
              </w:rPr>
              <w:t>Access controls at sub-processor</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165A54" w14:textId="77777777" w:rsidR="00E22E51" w:rsidRDefault="00000000">
            <w:r>
              <w:rPr>
                <w:color w:val="333333"/>
              </w:rPr>
              <w:t>Contractual / Technical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9401C2" w14:textId="77777777" w:rsidR="00E22E51" w:rsidRDefault="00000000">
            <w:r>
              <w:rPr>
                <w:color w:val="333333"/>
              </w:rPr>
              <w:t>Sub-processors implement role-based access controls and are contractually prohibited from accessing Customer Data except as necessary to provide the service</w:t>
            </w:r>
          </w:p>
        </w:tc>
      </w:tr>
      <w:tr w:rsidR="00E22E51" w14:paraId="70D0E6F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BFC6E2" w14:textId="77777777" w:rsidR="00E22E51" w:rsidRDefault="00000000">
            <w:r>
              <w:rPr>
                <w:color w:val="333333"/>
              </w:rPr>
              <w:t>Notification of government access requests</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3DB72C" w14:textId="77777777" w:rsidR="00E22E51" w:rsidRDefault="00000000">
            <w:r>
              <w:rPr>
                <w:color w:val="333333"/>
              </w:rPr>
              <w:t>Contractual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A9027A" w14:textId="77777777" w:rsidR="00E22E51" w:rsidRDefault="00000000">
            <w:r>
              <w:rPr>
                <w:color w:val="333333"/>
              </w:rPr>
              <w:t>Sub-processors are contractually required to notify Student Radar if they receive a government access request for Customer Data, to the extent legally permitted</w:t>
            </w:r>
          </w:p>
        </w:tc>
      </w:tr>
      <w:tr w:rsidR="00E22E51" w14:paraId="6F85B04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38CFF2" w14:textId="77777777" w:rsidR="00E22E51" w:rsidRDefault="00000000">
            <w:r>
              <w:rPr>
                <w:color w:val="333333"/>
              </w:rPr>
              <w:t>Binding Corporate Rules (Twilio)</w:t>
            </w:r>
          </w:p>
        </w:tc>
        <w:tc>
          <w:tcPr>
            <w:tcW w:w="1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8E3E52" w14:textId="77777777" w:rsidR="00E22E51" w:rsidRDefault="00000000">
            <w:r>
              <w:rPr>
                <w:color w:val="333333"/>
              </w:rPr>
              <w:t>Contractual</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F9AD99" w14:textId="77777777" w:rsidR="00E22E51" w:rsidRDefault="00000000">
            <w:r>
              <w:rPr>
                <w:color w:val="333333"/>
              </w:rPr>
              <w:t>Twilio’s BCRs provide an additional intra-group transfer framework approved under Article 47</w:t>
            </w:r>
          </w:p>
        </w:tc>
      </w:tr>
    </w:tbl>
    <w:p w14:paraId="76C98590" w14:textId="77777777" w:rsidR="00E22E51" w:rsidRDefault="00E22E51">
      <w:pPr>
        <w:spacing w:after="200"/>
      </w:pPr>
    </w:p>
    <w:p w14:paraId="2C15CE70" w14:textId="77777777" w:rsidR="00E22E51" w:rsidRDefault="00000000">
      <w:pPr>
        <w:spacing w:after="160" w:line="276" w:lineRule="auto"/>
      </w:pPr>
      <w:r>
        <w:t xml:space="preserve">Tokenisation reduces but does not eliminate re-identification risk. Where staff input free-text narrative (such as safeguarding case notes), the content itself may contain identifying details that tokenisation of structured fields (names, DOBs, UPNs) will not address. To mitigate this, prompt </w:t>
      </w:r>
      <w:r>
        <w:lastRenderedPageBreak/>
        <w:t>templates restrict free-text input to structured fields, and the application blocks submission of prompts exceeding defined character limits or containing patterns indicative of pasted case notes.</w:t>
      </w:r>
    </w:p>
    <w:p w14:paraId="5B9D7288" w14:textId="77777777" w:rsidR="00E22E51" w:rsidRDefault="00000000">
      <w:pPr>
        <w:pStyle w:val="Heading2"/>
      </w:pPr>
      <w:r>
        <w:t>8.3 TIA Review Cycle</w:t>
      </w:r>
    </w:p>
    <w:p w14:paraId="423FAF10" w14:textId="77777777" w:rsidR="00E22E51" w:rsidRDefault="00000000" w:rsidP="00BE3B20">
      <w:pPr>
        <w:pStyle w:val="ListParagraph"/>
        <w:numPr>
          <w:ilvl w:val="0"/>
          <w:numId w:val="15"/>
        </w:numPr>
        <w:spacing w:after="80" w:line="276" w:lineRule="auto"/>
      </w:pPr>
      <w:r>
        <w:t>TIAs are reviewed annually or when there is a material change to the transfer arrangement, the recipient country’s legal framework, or the data categories being transferred</w:t>
      </w:r>
    </w:p>
    <w:p w14:paraId="202BC29E" w14:textId="77777777" w:rsidR="00E22E51" w:rsidRDefault="00000000" w:rsidP="00BE3B20">
      <w:pPr>
        <w:pStyle w:val="ListParagraph"/>
        <w:numPr>
          <w:ilvl w:val="0"/>
          <w:numId w:val="15"/>
        </w:numPr>
        <w:spacing w:after="80" w:line="276" w:lineRule="auto"/>
      </w:pPr>
      <w:r>
        <w:t>TIAs are reviewed if a sub-processor notifies Student Radar of a change to its processing infrastructure or data residency</w:t>
      </w:r>
    </w:p>
    <w:p w14:paraId="49D5FE04" w14:textId="77777777" w:rsidR="00E22E51" w:rsidRDefault="00000000" w:rsidP="00BE3B20">
      <w:pPr>
        <w:pStyle w:val="ListParagraph"/>
        <w:numPr>
          <w:ilvl w:val="0"/>
          <w:numId w:val="15"/>
        </w:numPr>
        <w:spacing w:after="80" w:line="276" w:lineRule="auto"/>
      </w:pPr>
      <w:r>
        <w:t>TIA outcomes are documented and retained alongside this document</w:t>
      </w:r>
    </w:p>
    <w:p w14:paraId="317EB865" w14:textId="77777777" w:rsidR="00E22E51" w:rsidRDefault="00000000" w:rsidP="00BE3B20">
      <w:pPr>
        <w:pStyle w:val="ListParagraph"/>
        <w:numPr>
          <w:ilvl w:val="0"/>
          <w:numId w:val="15"/>
        </w:numPr>
        <w:spacing w:after="80" w:line="276" w:lineRule="auto"/>
      </w:pPr>
      <w:r>
        <w:t>If a TIA identifies that an essentially equivalent level of protection cannot be ensured, the transfer is suspended and the Customer is notified</w:t>
      </w:r>
    </w:p>
    <w:p w14:paraId="6574C578" w14:textId="77777777" w:rsidR="00E22E51" w:rsidRDefault="00000000">
      <w:pPr>
        <w:pStyle w:val="Heading1"/>
      </w:pPr>
      <w:r>
        <w:t>9. Customer Controls</w:t>
      </w:r>
    </w:p>
    <w:p w14:paraId="4BC87112" w14:textId="77777777" w:rsidR="00E22E51" w:rsidRDefault="00000000">
      <w:pPr>
        <w:spacing w:after="160" w:line="276" w:lineRule="auto"/>
      </w:pPr>
      <w:r>
        <w:t>Schools and MATs retain the following controls over AI and international transfer processing: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526"/>
        <w:gridCol w:w="4500"/>
      </w:tblGrid>
      <w:tr w:rsidR="00E22E51" w14:paraId="3ABE0EB8"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3A6AFA1" w14:textId="77777777" w:rsidR="00E22E51" w:rsidRDefault="00000000">
            <w:r>
              <w:rPr>
                <w:b/>
                <w:bCs/>
                <w:color w:val="FFFFFF"/>
              </w:rPr>
              <w:t>Control</w:t>
            </w:r>
          </w:p>
        </w:tc>
        <w:tc>
          <w:tcPr>
            <w:tcW w:w="2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CACA981" w14:textId="77777777" w:rsidR="00E22E51" w:rsidRDefault="00000000">
            <w:r>
              <w:rPr>
                <w:b/>
                <w:bCs/>
                <w:color w:val="FFFFFF"/>
              </w:rPr>
              <w:t>Mechanism</w:t>
            </w:r>
          </w:p>
        </w:tc>
        <w:tc>
          <w:tcPr>
            <w:tcW w:w="4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6EF708F" w14:textId="77777777" w:rsidR="00E22E51" w:rsidRDefault="00000000">
            <w:r>
              <w:rPr>
                <w:b/>
                <w:bCs/>
                <w:color w:val="FFFFFF"/>
              </w:rPr>
              <w:t>Effect</w:t>
            </w:r>
          </w:p>
        </w:tc>
      </w:tr>
      <w:tr w:rsidR="00E22E51" w14:paraId="3E9F4F8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476A7C" w14:textId="77777777" w:rsidR="00E22E51" w:rsidRDefault="00000000">
            <w:r>
              <w:rPr>
                <w:color w:val="333333"/>
              </w:rPr>
              <w:t>Disable AI features</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CCCF04" w14:textId="77777777" w:rsidR="00E22E51" w:rsidRDefault="00000000">
            <w:r>
              <w:rPr>
                <w:color w:val="333333"/>
              </w:rPr>
              <w:t>Platform administration settings</w:t>
            </w:r>
          </w:p>
        </w:tc>
        <w:tc>
          <w:tcPr>
            <w:tcW w:w="4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2EC098" w14:textId="77777777" w:rsidR="00E22E51" w:rsidRDefault="00000000">
            <w:r>
              <w:rPr>
                <w:color w:val="333333"/>
              </w:rPr>
              <w:t>AI modules can be disabled per-school at any time. Disabling prevents any further data transmission to OpenAI for that school</w:t>
            </w:r>
          </w:p>
        </w:tc>
      </w:tr>
      <w:tr w:rsidR="00E22E51" w14:paraId="62DAC41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BAAC63" w14:textId="77777777" w:rsidR="00E22E51" w:rsidRDefault="00000000">
            <w:r>
              <w:rPr>
                <w:color w:val="333333"/>
              </w:rPr>
              <w:t>Disable optional sub-processors</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740A3D" w14:textId="77777777" w:rsidR="00E22E51" w:rsidRDefault="00000000">
            <w:r>
              <w:rPr>
                <w:color w:val="333333"/>
              </w:rPr>
              <w:t>Module configuration</w:t>
            </w:r>
          </w:p>
        </w:tc>
        <w:tc>
          <w:tcPr>
            <w:tcW w:w="4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B98972" w14:textId="77777777" w:rsidR="00E22E51" w:rsidRDefault="00000000">
            <w:r>
              <w:rPr>
                <w:color w:val="333333"/>
              </w:rPr>
              <w:t>Optional sub-processors (Resend, Twilio, OpenAI, Sentry) are only engaged when the corresponding module is enabled. Disabling the module stops all processing by that sub-processor</w:t>
            </w:r>
          </w:p>
        </w:tc>
      </w:tr>
      <w:tr w:rsidR="00E22E51" w14:paraId="4F92954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A1E7F7" w14:textId="77777777" w:rsidR="00E22E51" w:rsidRDefault="00000000">
            <w:r>
              <w:rPr>
                <w:color w:val="333333"/>
              </w:rPr>
              <w:t>Object to sub-processor changes</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4CFCB8" w14:textId="77777777" w:rsidR="00E22E51" w:rsidRDefault="00000000">
            <w:r>
              <w:rPr>
                <w:color w:val="333333"/>
              </w:rPr>
              <w:t>DPA objection right (14-day window)</w:t>
            </w:r>
          </w:p>
        </w:tc>
        <w:tc>
          <w:tcPr>
            <w:tcW w:w="4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8800C6" w14:textId="77777777" w:rsidR="00E22E51" w:rsidRDefault="00000000">
            <w:r>
              <w:rPr>
                <w:color w:val="333333"/>
              </w:rPr>
              <w:t>Customers may object to new sub-processor appointments on data protection grounds. If unresolved, the Customer may terminate the affected service without penalty</w:t>
            </w:r>
          </w:p>
        </w:tc>
      </w:tr>
      <w:tr w:rsidR="00E22E51" w14:paraId="79F3ECE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75AD78" w14:textId="77777777" w:rsidR="00E22E51" w:rsidRDefault="00000000">
            <w:r>
              <w:rPr>
                <w:color w:val="333333"/>
              </w:rPr>
              <w:t>Request data deletion</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8CA4EB" w14:textId="77777777" w:rsidR="00E22E51" w:rsidRDefault="00000000">
            <w:r>
              <w:rPr>
                <w:color w:val="333333"/>
              </w:rPr>
              <w:t>DPA termination provisions</w:t>
            </w:r>
          </w:p>
        </w:tc>
        <w:tc>
          <w:tcPr>
            <w:tcW w:w="4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9F9A6D" w14:textId="77777777" w:rsidR="00E22E51" w:rsidRDefault="00000000">
            <w:r>
              <w:rPr>
                <w:color w:val="333333"/>
              </w:rPr>
              <w:t>On termination, all Customer Data (including data held by sub-processors) is deleted within 30 days with written confirmation</w:t>
            </w:r>
          </w:p>
        </w:tc>
      </w:tr>
      <w:tr w:rsidR="00E22E51" w14:paraId="17F0575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D49205" w14:textId="77777777" w:rsidR="00E22E51" w:rsidRDefault="00000000">
            <w:r>
              <w:rPr>
                <w:color w:val="333333"/>
              </w:rPr>
              <w:t>Request TIA documentation</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F28887" w14:textId="77777777" w:rsidR="00E22E51" w:rsidRDefault="00000000">
            <w:r>
              <w:rPr>
                <w:color w:val="333333"/>
              </w:rPr>
              <w:t>DPO request</w:t>
            </w:r>
          </w:p>
        </w:tc>
        <w:tc>
          <w:tcPr>
            <w:tcW w:w="4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6CA485" w14:textId="77777777" w:rsidR="00E22E51" w:rsidRDefault="00000000">
            <w:r>
              <w:rPr>
                <w:color w:val="333333"/>
              </w:rPr>
              <w:t>Customers may request copies of Transfer Impact Assessments for any sub-processor involved in international transfers</w:t>
            </w:r>
          </w:p>
        </w:tc>
      </w:tr>
      <w:tr w:rsidR="00E22E51" w14:paraId="1170AB9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54447A" w14:textId="77777777" w:rsidR="00E22E51" w:rsidRDefault="00000000">
            <w:r>
              <w:rPr>
                <w:color w:val="333333"/>
              </w:rPr>
              <w:t>Restrict data scope</w:t>
            </w:r>
          </w:p>
        </w:tc>
        <w:tc>
          <w:tcPr>
            <w:tcW w:w="2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D3F748" w14:textId="77777777" w:rsidR="00E22E51" w:rsidRDefault="00000000">
            <w:r>
              <w:rPr>
                <w:color w:val="333333"/>
              </w:rPr>
              <w:t>Wonde MIS configuration</w:t>
            </w:r>
          </w:p>
        </w:tc>
        <w:tc>
          <w:tcPr>
            <w:tcW w:w="4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C23B7B" w14:textId="77777777" w:rsidR="00E22E51" w:rsidRDefault="00000000">
            <w:r>
              <w:rPr>
                <w:color w:val="333333"/>
              </w:rPr>
              <w:t>Schools configure which data categories are synchronised. Restricting the sync scope reduces the data available to all Platform features, including AI</w:t>
            </w:r>
          </w:p>
        </w:tc>
      </w:tr>
    </w:tbl>
    <w:p w14:paraId="2A7455EA" w14:textId="77777777" w:rsidR="00E22E51" w:rsidRDefault="00E22E51">
      <w:pPr>
        <w:spacing w:after="200"/>
      </w:pPr>
    </w:p>
    <w:p w14:paraId="4C10CE78" w14:textId="77777777" w:rsidR="00E22E51" w:rsidRDefault="00000000">
      <w:pPr>
        <w:pStyle w:val="Heading1"/>
      </w:pPr>
      <w:r>
        <w:t>10. Regulatory Alignment</w:t>
      </w:r>
    </w:p>
    <w:p w14:paraId="3BCDB0FA" w14:textId="77777777" w:rsidR="00E22E51" w:rsidRDefault="00000000">
      <w:pPr>
        <w:spacing w:after="160" w:line="276" w:lineRule="auto"/>
      </w:pPr>
      <w:r>
        <w:lastRenderedPageBreak/>
        <w:t>This document is maintained in alignment with the following regulatory frameworks and guidance: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E22E51" w14:paraId="23AC7BC6" w14:textId="77777777">
        <w:tblPrEx>
          <w:tblCellMar>
            <w:top w:w="0" w:type="dxa"/>
            <w:bottom w:w="0" w:type="dxa"/>
          </w:tblCellMar>
        </w:tblPrEx>
        <w:trPr>
          <w:tblHeader/>
        </w:trPr>
        <w:tc>
          <w:tcPr>
            <w:tcW w:w="3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D0B496D" w14:textId="77777777" w:rsidR="00E22E51" w:rsidRDefault="00000000">
            <w:r>
              <w:rPr>
                <w:b/>
                <w:bCs/>
                <w:color w:val="FFFFFF"/>
              </w:rPr>
              <w:t>Framework / Guidance</w:t>
            </w:r>
          </w:p>
        </w:tc>
        <w:tc>
          <w:tcPr>
            <w:tcW w:w="5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50CB5F0" w14:textId="77777777" w:rsidR="00E22E51" w:rsidRDefault="00000000">
            <w:r>
              <w:rPr>
                <w:b/>
                <w:bCs/>
                <w:color w:val="FFFFFF"/>
              </w:rPr>
              <w:t>Relevance</w:t>
            </w:r>
          </w:p>
        </w:tc>
      </w:tr>
      <w:tr w:rsidR="00E22E51" w14:paraId="36DD818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152EA0" w14:textId="77777777" w:rsidR="00E22E51" w:rsidRDefault="00000000">
            <w:r>
              <w:rPr>
                <w:color w:val="333333"/>
              </w:rPr>
              <w:t>UK GDPR (Articles 44–49)</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AA85D7" w14:textId="77777777" w:rsidR="00E22E51" w:rsidRDefault="00000000">
            <w:r>
              <w:rPr>
                <w:color w:val="333333"/>
              </w:rPr>
              <w:t>Governs the lawfulness of international data transfers from the UK</w:t>
            </w:r>
          </w:p>
        </w:tc>
      </w:tr>
      <w:tr w:rsidR="00E22E51" w14:paraId="04E30D0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BE7AD2" w14:textId="77777777" w:rsidR="00E22E51" w:rsidRDefault="00000000">
            <w:r>
              <w:rPr>
                <w:color w:val="333333"/>
              </w:rPr>
              <w:t>DPA 2018 (Schedule 1)</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7AAA46" w14:textId="77777777" w:rsidR="00E22E51" w:rsidRDefault="00000000">
            <w:r>
              <w:rPr>
                <w:color w:val="333333"/>
              </w:rPr>
              <w:t>Conditions for processing special category data, including via AI features</w:t>
            </w:r>
          </w:p>
        </w:tc>
      </w:tr>
      <w:tr w:rsidR="00E22E51" w14:paraId="50A290E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78B2D2" w14:textId="77777777" w:rsidR="00E22E51" w:rsidRDefault="00000000">
            <w:r>
              <w:rPr>
                <w:color w:val="333333"/>
              </w:rPr>
              <w:t>ICO Guidance on International Transfers</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70E8DF" w14:textId="77777777" w:rsidR="00E22E51" w:rsidRDefault="00000000">
            <w:r>
              <w:rPr>
                <w:color w:val="333333"/>
              </w:rPr>
              <w:t>Practical guidance on TIAs, SCCs, and supplementary measures</w:t>
            </w:r>
          </w:p>
        </w:tc>
      </w:tr>
      <w:tr w:rsidR="00E22E51" w14:paraId="692B36C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9D91E3" w14:textId="77777777" w:rsidR="00E22E51" w:rsidRDefault="00000000">
            <w:r>
              <w:rPr>
                <w:color w:val="333333"/>
              </w:rPr>
              <w:t>ICO Guidance on AI and Data Protection</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F26C22" w14:textId="77777777" w:rsidR="00E22E51" w:rsidRDefault="00000000">
            <w:r>
              <w:rPr>
                <w:color w:val="333333"/>
              </w:rPr>
              <w:t>Guidance on fairness, transparency, accountability, and data minimisation in AI systems</w:t>
            </w:r>
          </w:p>
        </w:tc>
      </w:tr>
      <w:tr w:rsidR="00E22E51" w14:paraId="79C671D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E2709A" w14:textId="77777777" w:rsidR="00E22E51" w:rsidRDefault="00000000">
            <w:r>
              <w:rPr>
                <w:color w:val="333333"/>
              </w:rPr>
              <w:t>ICO Children’s Code (</w:t>
            </w:r>
            <w:proofErr w:type="gramStart"/>
            <w:r>
              <w:rPr>
                <w:color w:val="333333"/>
              </w:rPr>
              <w:t>Age Appropriate</w:t>
            </w:r>
            <w:proofErr w:type="gramEnd"/>
            <w:r>
              <w:rPr>
                <w:color w:val="333333"/>
              </w:rPr>
              <w:t xml:space="preserve"> Design Code)</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068FC6" w14:textId="77777777" w:rsidR="00E22E51" w:rsidRDefault="00000000">
            <w:r>
              <w:rPr>
                <w:color w:val="333333"/>
              </w:rPr>
              <w:t>Specific obligations regarding automated processing and profiling of children’s data</w:t>
            </w:r>
          </w:p>
        </w:tc>
      </w:tr>
      <w:tr w:rsidR="00E22E51" w14:paraId="5C59ACC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0B7B23" w14:textId="77777777" w:rsidR="00E22E51" w:rsidRDefault="00000000">
            <w:r>
              <w:rPr>
                <w:color w:val="333333"/>
              </w:rPr>
              <w:t>EU AI Act (for reference)</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7FC29C" w14:textId="77777777" w:rsidR="00E22E51" w:rsidRDefault="00000000">
            <w:r>
              <w:rPr>
                <w:color w:val="333333"/>
              </w:rPr>
              <w:t>Although not directly applicable to UK-only processing, Student Radar monitors the EU AI Act for alignment purposes, given that some sub-processors operate within the EU and Customers may have EU-connected obligations</w:t>
            </w:r>
          </w:p>
        </w:tc>
      </w:tr>
      <w:tr w:rsidR="00E22E51" w14:paraId="5138D54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46C494" w14:textId="77777777" w:rsidR="00E22E51" w:rsidRDefault="00000000">
            <w:r>
              <w:rPr>
                <w:color w:val="333333"/>
              </w:rPr>
              <w:t>Equality Act 2010</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F063FD" w14:textId="77777777" w:rsidR="00E22E51" w:rsidRDefault="00000000">
            <w:r>
              <w:rPr>
                <w:color w:val="333333"/>
              </w:rPr>
              <w:t>Relevant to bias monitoring in AI outputs, particularly regarding protected characteristics</w:t>
            </w:r>
          </w:p>
        </w:tc>
      </w:tr>
      <w:tr w:rsidR="00E22E51" w14:paraId="283C330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5ABBB8" w14:textId="77777777" w:rsidR="00E22E51" w:rsidRDefault="00000000">
            <w:r>
              <w:rPr>
                <w:color w:val="333333"/>
              </w:rPr>
              <w:t>DfE Data Protection Toolkit for Schools</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E03ACB" w14:textId="77777777" w:rsidR="00E22E51" w:rsidRDefault="00000000">
            <w:r>
              <w:rPr>
                <w:color w:val="333333"/>
              </w:rPr>
              <w:t>Practical guidance relied upon by schools for procurement due diligence</w:t>
            </w:r>
          </w:p>
        </w:tc>
      </w:tr>
    </w:tbl>
    <w:p w14:paraId="287E2647" w14:textId="77777777" w:rsidR="00E22E51" w:rsidRDefault="00E22E51">
      <w:pPr>
        <w:spacing w:after="200"/>
      </w:pPr>
    </w:p>
    <w:p w14:paraId="0A8F3502" w14:textId="77777777" w:rsidR="00E22E51" w:rsidRDefault="00000000">
      <w:pPr>
        <w:pStyle w:val="Heading1"/>
      </w:pPr>
      <w:r>
        <w:t>11. Risk Summary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200"/>
        <w:gridCol w:w="5326"/>
      </w:tblGrid>
      <w:tr w:rsidR="00E22E51" w14:paraId="0A412A86" w14:textId="77777777">
        <w:tblPrEx>
          <w:tblCellMar>
            <w:top w:w="0" w:type="dxa"/>
            <w:bottom w:w="0" w:type="dxa"/>
          </w:tblCellMar>
        </w:tblPrEx>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2F13E95" w14:textId="77777777" w:rsidR="00E22E51" w:rsidRDefault="00000000">
            <w:r>
              <w:rPr>
                <w:b/>
                <w:bCs/>
                <w:color w:val="FFFFFF"/>
              </w:rPr>
              <w:t>Risk Area</w:t>
            </w:r>
          </w:p>
        </w:tc>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BFA9E16" w14:textId="77777777" w:rsidR="00E22E51" w:rsidRDefault="00000000">
            <w:r>
              <w:rPr>
                <w:b/>
                <w:bCs/>
                <w:color w:val="FFFFFF"/>
              </w:rPr>
              <w:t>Risk Level</w:t>
            </w:r>
          </w:p>
        </w:tc>
        <w:tc>
          <w:tcPr>
            <w:tcW w:w="53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88FA888" w14:textId="77777777" w:rsidR="00E22E51" w:rsidRDefault="00000000">
            <w:r>
              <w:rPr>
                <w:b/>
                <w:bCs/>
                <w:color w:val="FFFFFF"/>
              </w:rPr>
              <w:t>Mitigation</w:t>
            </w:r>
          </w:p>
        </w:tc>
      </w:tr>
      <w:tr w:rsidR="00E22E51" w14:paraId="25B4F9D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09043E" w14:textId="77777777" w:rsidR="00E22E51" w:rsidRDefault="00000000">
            <w:r>
              <w:rPr>
                <w:color w:val="333333"/>
              </w:rPr>
              <w:t>AI bias affecting pupil outcomes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F45C6B" w14:textId="77777777" w:rsidR="00E22E51" w:rsidRDefault="00000000">
            <w:r>
              <w:rPr>
                <w:color w:val="333333"/>
              </w:rPr>
              <w:t>Medium</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8A60EC" w14:textId="77777777" w:rsidR="00E22E51" w:rsidRDefault="00000000">
            <w:r>
              <w:rPr>
                <w:color w:val="333333"/>
              </w:rPr>
              <w:t>Human-in-the-loop; protected characteristics excluded from AI inputs; periodic bias review; feature suspension if bias identified</w:t>
            </w:r>
          </w:p>
        </w:tc>
      </w:tr>
      <w:tr w:rsidR="00E22E51" w14:paraId="021AB53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E1076B" w14:textId="77777777" w:rsidR="00E22E51" w:rsidRDefault="00000000">
            <w:r>
              <w:rPr>
                <w:color w:val="333333"/>
              </w:rPr>
              <w:t>AI hallucination or inaccuracy</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E65FB4" w14:textId="77777777" w:rsidR="00E22E51" w:rsidRDefault="00000000">
            <w:r>
              <w:rPr>
                <w:color w:val="333333"/>
              </w:rPr>
              <w:t>Medium</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F228F9" w14:textId="77777777" w:rsidR="00E22E51" w:rsidRDefault="00000000">
            <w:r>
              <w:rPr>
                <w:color w:val="333333"/>
              </w:rPr>
              <w:t>Advisory only; staff review mandatory; outputs labelled as AI-generated; disclaimers in AUP and MSA</w:t>
            </w:r>
          </w:p>
        </w:tc>
      </w:tr>
      <w:tr w:rsidR="00E22E51" w14:paraId="2B4FBA7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A6FA3D" w14:textId="77777777" w:rsidR="00E22E51" w:rsidRDefault="00000000">
            <w:r>
              <w:rPr>
                <w:color w:val="333333"/>
              </w:rPr>
              <w:t>OpenAI data retention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DAC84A" w14:textId="77777777" w:rsidR="00E22E51" w:rsidRDefault="00000000">
            <w:r>
              <w:rPr>
                <w:color w:val="333333"/>
              </w:rPr>
              <w:t>Low</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4265FF" w14:textId="77777777" w:rsidR="00E22E51" w:rsidRDefault="00000000">
            <w:r>
              <w:rPr>
                <w:color w:val="333333"/>
              </w:rPr>
              <w:t>Zero-retention API agreement; contractual prohibition on training; annual verification</w:t>
            </w:r>
          </w:p>
        </w:tc>
      </w:tr>
      <w:tr w:rsidR="00E22E51" w14:paraId="74FE72E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B01A27" w14:textId="77777777" w:rsidR="00E22E51" w:rsidRDefault="00000000">
            <w:r>
              <w:rPr>
                <w:color w:val="333333"/>
              </w:rPr>
              <w:t>US government access to transferred data</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E81E3C" w14:textId="77777777" w:rsidR="00E22E51" w:rsidRDefault="00000000">
            <w:r>
              <w:rPr>
                <w:color w:val="333333"/>
              </w:rPr>
              <w:t>Low–Medium</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DCDC5C" w14:textId="77777777" w:rsidR="00E22E51" w:rsidRDefault="00000000">
            <w:r>
              <w:rPr>
                <w:color w:val="333333"/>
              </w:rPr>
              <w:t>Tokenisation (OpenAI); data minimisation (Resend, Twilio); SCCs/IDTA; contractual notification obligations; BCRs (Twilio)</w:t>
            </w:r>
          </w:p>
        </w:tc>
      </w:tr>
      <w:tr w:rsidR="00E22E51" w14:paraId="182D37E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8C3FE5" w14:textId="77777777" w:rsidR="00E22E51" w:rsidRDefault="00000000">
            <w:r>
              <w:rPr>
                <w:color w:val="333333"/>
              </w:rPr>
              <w:t>Sub-processor breach involving transferred data</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7C24CE" w14:textId="77777777" w:rsidR="00E22E51" w:rsidRDefault="00000000">
            <w:r>
              <w:rPr>
                <w:color w:val="333333"/>
              </w:rPr>
              <w:t>Low–Medium</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9CF343" w14:textId="77777777" w:rsidR="00E22E51" w:rsidRDefault="00000000">
            <w:r>
              <w:rPr>
                <w:color w:val="333333"/>
              </w:rPr>
              <w:t>SOC 2 Type II certification; contractual breach notification; incident response procedures; encryption in transit and at rest</w:t>
            </w:r>
          </w:p>
        </w:tc>
      </w:tr>
      <w:tr w:rsidR="00E22E51" w14:paraId="3D2315F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C6FF66" w14:textId="77777777" w:rsidR="00E22E51" w:rsidRDefault="00000000">
            <w:r>
              <w:rPr>
                <w:color w:val="333333"/>
              </w:rPr>
              <w:t>Loss of EU adequacy status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40BB68" w14:textId="77777777" w:rsidR="00E22E51" w:rsidRDefault="00000000">
            <w:r>
              <w:rPr>
                <w:color w:val="333333"/>
              </w:rPr>
              <w:t>Low</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6245F9" w14:textId="77777777" w:rsidR="00E22E51" w:rsidRDefault="00000000">
            <w:r>
              <w:rPr>
                <w:color w:val="333333"/>
              </w:rPr>
              <w:t>Monitored; contingency to add SCCs/IDTA for EU sub-processors if adequacy lapses</w:t>
            </w:r>
          </w:p>
        </w:tc>
      </w:tr>
      <w:tr w:rsidR="00E22E51" w14:paraId="7C50927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0F3BAF" w14:textId="77777777" w:rsidR="00E22E51" w:rsidRDefault="00000000">
            <w:r>
              <w:rPr>
                <w:color w:val="333333"/>
              </w:rPr>
              <w:lastRenderedPageBreak/>
              <w:t>Regulatory change (AI governance)</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715649" w14:textId="77777777" w:rsidR="00E22E51" w:rsidRDefault="00000000">
            <w:r>
              <w:rPr>
                <w:color w:val="333333"/>
              </w:rPr>
              <w:t>Low</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07DA5A" w14:textId="77777777" w:rsidR="00E22E51" w:rsidRDefault="00000000">
            <w:r>
              <w:rPr>
                <w:color w:val="333333"/>
              </w:rPr>
              <w:t>ICO and EU AI Act guidance monitored; document reviewed annually; architecture supports rapid feature disablement</w:t>
            </w:r>
          </w:p>
        </w:tc>
      </w:tr>
    </w:tbl>
    <w:p w14:paraId="3A11103E" w14:textId="77777777" w:rsidR="00E22E51" w:rsidRDefault="00E22E51">
      <w:pPr>
        <w:spacing w:after="200"/>
      </w:pPr>
    </w:p>
    <w:p w14:paraId="3BA8E8F9" w14:textId="77777777" w:rsidR="00E22E51" w:rsidRDefault="00000000">
      <w:pPr>
        <w:pStyle w:val="Heading1"/>
      </w:pPr>
      <w:r>
        <w:t>12. Version History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1800"/>
        <w:gridCol w:w="4426"/>
        <w:gridCol w:w="1800"/>
      </w:tblGrid>
      <w:tr w:rsidR="00E22E51" w14:paraId="63B8C152" w14:textId="77777777">
        <w:tblPrEx>
          <w:tblCellMar>
            <w:top w:w="0" w:type="dxa"/>
            <w:bottom w:w="0" w:type="dxa"/>
          </w:tblCellMar>
        </w:tblPrEx>
        <w:trPr>
          <w:tblHeader/>
        </w:trPr>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9FE791D" w14:textId="77777777" w:rsidR="00E22E51" w:rsidRDefault="00000000">
            <w:r>
              <w:rPr>
                <w:b/>
                <w:bCs/>
                <w:color w:val="FFFFFF"/>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2793384" w14:textId="77777777" w:rsidR="00E22E51" w:rsidRDefault="00000000">
            <w:r>
              <w:rPr>
                <w:b/>
                <w:bCs/>
                <w:color w:val="FFFFFF"/>
              </w:rPr>
              <w:t>Date</w:t>
            </w:r>
          </w:p>
        </w:tc>
        <w:tc>
          <w:tcPr>
            <w:tcW w:w="44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EBA0A98" w14:textId="77777777" w:rsidR="00E22E51" w:rsidRDefault="00000000">
            <w:r>
              <w:rPr>
                <w:b/>
                <w:bCs/>
                <w:color w:val="FFFFFF"/>
              </w:rPr>
              <w:t>Change Description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2355989" w14:textId="77777777" w:rsidR="00E22E51" w:rsidRDefault="00000000">
            <w:r>
              <w:rPr>
                <w:b/>
                <w:bCs/>
                <w:color w:val="FFFFFF"/>
              </w:rPr>
              <w:t>Author</w:t>
            </w:r>
          </w:p>
        </w:tc>
      </w:tr>
      <w:tr w:rsidR="00E22E51" w14:paraId="009EF30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DD5DDA" w14:textId="77777777" w:rsidR="00E22E51" w:rsidRDefault="00000000">
            <w:r>
              <w:rPr>
                <w:color w:val="333333"/>
              </w:rPr>
              <w:t>1.0</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663FB9" w14:textId="77777777" w:rsidR="00E22E51" w:rsidRDefault="00000000">
            <w:r>
              <w:rPr>
                <w:color w:val="333333"/>
              </w:rPr>
              <w:t>21 February 2026</w:t>
            </w:r>
          </w:p>
        </w:tc>
        <w:tc>
          <w:tcPr>
            <w:tcW w:w="4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A779A5" w14:textId="77777777" w:rsidR="00E22E51" w:rsidRDefault="00000000">
            <w:r>
              <w:rPr>
                <w:color w:val="333333"/>
              </w:rPr>
              <w:t>Initial publication</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F275D3" w14:textId="77777777" w:rsidR="00E22E51" w:rsidRDefault="00000000">
            <w:r>
              <w:rPr>
                <w:color w:val="333333"/>
              </w:rPr>
              <w:t>Stuart Armley-Jones</w:t>
            </w:r>
          </w:p>
        </w:tc>
      </w:tr>
    </w:tbl>
    <w:p w14:paraId="6CDEF391" w14:textId="77777777" w:rsidR="00E22E51" w:rsidRDefault="00E22E51">
      <w:pPr>
        <w:spacing w:after="200"/>
      </w:pPr>
    </w:p>
    <w:p w14:paraId="4032E435" w14:textId="77777777" w:rsidR="00E22E51" w:rsidRDefault="00000000">
      <w:pPr>
        <w:pStyle w:val="Heading1"/>
      </w:pPr>
      <w:r>
        <w:t>13. Contact</w:t>
      </w:r>
    </w:p>
    <w:p w14:paraId="7B69A515" w14:textId="77777777" w:rsidR="00E22E51" w:rsidRDefault="00000000">
      <w:pPr>
        <w:spacing w:after="160" w:line="276" w:lineRule="auto"/>
      </w:pPr>
      <w:r>
        <w:t>For questions about AI features, international data transfers, or to request Transfer Impact Assessment documentation:</w:t>
      </w:r>
    </w:p>
    <w:p w14:paraId="1EEF230C" w14:textId="77777777" w:rsidR="00E22E51" w:rsidRDefault="00000000">
      <w:pPr>
        <w:spacing w:after="40" w:line="276" w:lineRule="auto"/>
      </w:pPr>
      <w:r>
        <w:rPr>
          <w:b/>
          <w:bCs/>
        </w:rPr>
        <w:t>Student Radar – Data Protection Lead</w:t>
      </w:r>
    </w:p>
    <w:p w14:paraId="572045F8" w14:textId="77777777" w:rsidR="00E22E51" w:rsidRDefault="00000000">
      <w:pPr>
        <w:spacing w:after="160" w:line="276" w:lineRule="auto"/>
      </w:pPr>
      <w:r>
        <w:t>Email: dpo@studentradar.com</w:t>
      </w:r>
    </w:p>
    <w:p w14:paraId="0C29274B" w14:textId="77777777" w:rsidR="00E22E51" w:rsidRDefault="00000000">
      <w:pPr>
        <w:spacing w:after="160" w:line="276" w:lineRule="auto"/>
      </w:pPr>
      <w:r>
        <w:t>General: support@studentradar.com</w:t>
      </w:r>
    </w:p>
    <w:p w14:paraId="21D526D0" w14:textId="77777777" w:rsidR="00E22E51" w:rsidRDefault="00000000">
      <w:pPr>
        <w:spacing w:after="160" w:line="276" w:lineRule="auto"/>
      </w:pPr>
      <w:r>
        <w:t>Website: www.studentradar.com</w:t>
      </w:r>
    </w:p>
    <w:p w14:paraId="093EC6BE" w14:textId="77777777" w:rsidR="00E22E51" w:rsidRDefault="00000000">
      <w:pPr>
        <w:spacing w:after="160" w:line="276" w:lineRule="auto"/>
      </w:pPr>
      <w:r>
        <w:t xml:space="preserve">Address: </w:t>
      </w:r>
      <w:proofErr w:type="spellStart"/>
      <w:r>
        <w:t>SENDlink</w:t>
      </w:r>
      <w:proofErr w:type="spellEnd"/>
      <w:r>
        <w:t xml:space="preserve"> LTD, 10 Masefield Gardens, Plymouth, PL5 3HU</w:t>
      </w:r>
    </w:p>
    <w:p w14:paraId="485B1DF2" w14:textId="77777777" w:rsidR="00E22E51" w:rsidRDefault="00000000">
      <w:pPr>
        <w:spacing w:after="160" w:line="276" w:lineRule="auto"/>
      </w:pPr>
      <w:r>
        <w:t>Company Number: 16602655</w:t>
      </w:r>
    </w:p>
    <w:sectPr w:rsidR="00E22E51">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1C3C" w14:textId="77777777" w:rsidR="00D417E3" w:rsidRDefault="00D417E3">
      <w:r>
        <w:separator/>
      </w:r>
    </w:p>
  </w:endnote>
  <w:endnote w:type="continuationSeparator" w:id="0">
    <w:p w14:paraId="7782CC0E" w14:textId="77777777" w:rsidR="00D417E3" w:rsidRDefault="00D4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A069" w14:textId="77777777" w:rsidR="00E22E51" w:rsidRDefault="00000000">
    <w:pPr>
      <w:pBdr>
        <w:top w:val="single" w:sz="1" w:space="8" w:color="CCCCCC"/>
      </w:pBdr>
      <w:spacing w:before="200"/>
      <w:jc w:val="center"/>
    </w:pPr>
    <w:r>
      <w:rPr>
        <w:color w:val="888888"/>
        <w:sz w:val="18"/>
        <w:szCs w:val="18"/>
      </w:rPr>
      <w:t xml:space="preserve">Student Radar – AI &amp; International Transfer </w:t>
    </w:r>
    <w:proofErr w:type="gramStart"/>
    <w:r>
      <w:rPr>
        <w:color w:val="888888"/>
        <w:sz w:val="18"/>
        <w:szCs w:val="18"/>
      </w:rPr>
      <w:t>Overview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9D4A1F">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719C" w14:textId="77777777" w:rsidR="00D417E3" w:rsidRDefault="00D417E3">
      <w:r>
        <w:separator/>
      </w:r>
    </w:p>
  </w:footnote>
  <w:footnote w:type="continuationSeparator" w:id="0">
    <w:p w14:paraId="52084996" w14:textId="77777777" w:rsidR="00D417E3" w:rsidRDefault="00D4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A79E"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43554C2A"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5449E5BC"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AI &amp; International Transfer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AI &amp; International Transfer Overview</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3EF"/>
    <w:multiLevelType w:val="hybridMultilevel"/>
    <w:tmpl w:val="80B2CB3A"/>
    <w:lvl w:ilvl="0" w:tplc="02582A1E">
      <w:start w:val="1"/>
      <w:numFmt w:val="bullet"/>
      <w:lvlText w:val="●"/>
      <w:lvlJc w:val="left"/>
      <w:pPr>
        <w:ind w:left="720" w:hanging="360"/>
      </w:pPr>
    </w:lvl>
    <w:lvl w:ilvl="1" w:tplc="4AEEF9C6">
      <w:start w:val="1"/>
      <w:numFmt w:val="bullet"/>
      <w:lvlText w:val="○"/>
      <w:lvlJc w:val="left"/>
      <w:pPr>
        <w:ind w:left="1440" w:hanging="360"/>
      </w:pPr>
    </w:lvl>
    <w:lvl w:ilvl="2" w:tplc="E0F6ED56">
      <w:start w:val="1"/>
      <w:numFmt w:val="bullet"/>
      <w:lvlText w:val="■"/>
      <w:lvlJc w:val="left"/>
      <w:pPr>
        <w:ind w:left="2160" w:hanging="360"/>
      </w:pPr>
    </w:lvl>
    <w:lvl w:ilvl="3" w:tplc="7E04C456">
      <w:start w:val="1"/>
      <w:numFmt w:val="bullet"/>
      <w:lvlText w:val="●"/>
      <w:lvlJc w:val="left"/>
      <w:pPr>
        <w:ind w:left="2880" w:hanging="360"/>
      </w:pPr>
    </w:lvl>
    <w:lvl w:ilvl="4" w:tplc="C5CA6432">
      <w:start w:val="1"/>
      <w:numFmt w:val="bullet"/>
      <w:lvlText w:val="○"/>
      <w:lvlJc w:val="left"/>
      <w:pPr>
        <w:ind w:left="3600" w:hanging="360"/>
      </w:pPr>
    </w:lvl>
    <w:lvl w:ilvl="5" w:tplc="5C42E3F8">
      <w:start w:val="1"/>
      <w:numFmt w:val="bullet"/>
      <w:lvlText w:val="■"/>
      <w:lvlJc w:val="left"/>
      <w:pPr>
        <w:ind w:left="4320" w:hanging="360"/>
      </w:pPr>
    </w:lvl>
    <w:lvl w:ilvl="6" w:tplc="3342C9BE">
      <w:start w:val="1"/>
      <w:numFmt w:val="bullet"/>
      <w:lvlText w:val="●"/>
      <w:lvlJc w:val="left"/>
      <w:pPr>
        <w:ind w:left="5040" w:hanging="360"/>
      </w:pPr>
    </w:lvl>
    <w:lvl w:ilvl="7" w:tplc="0FBE4832">
      <w:start w:val="1"/>
      <w:numFmt w:val="bullet"/>
      <w:lvlText w:val="●"/>
      <w:lvlJc w:val="left"/>
      <w:pPr>
        <w:ind w:left="5760" w:hanging="360"/>
      </w:pPr>
    </w:lvl>
    <w:lvl w:ilvl="8" w:tplc="F9BEA496">
      <w:start w:val="1"/>
      <w:numFmt w:val="bullet"/>
      <w:lvlText w:val="●"/>
      <w:lvlJc w:val="left"/>
      <w:pPr>
        <w:ind w:left="6480" w:hanging="360"/>
      </w:pPr>
    </w:lvl>
  </w:abstractNum>
  <w:abstractNum w:abstractNumId="1" w15:restartNumberingAfterBreak="0">
    <w:nsid w:val="12B96BDA"/>
    <w:multiLevelType w:val="hybridMultilevel"/>
    <w:tmpl w:val="9164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41BA"/>
    <w:multiLevelType w:val="hybridMultilevel"/>
    <w:tmpl w:val="9A5E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26822"/>
    <w:multiLevelType w:val="hybridMultilevel"/>
    <w:tmpl w:val="5490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C7851"/>
    <w:multiLevelType w:val="hybridMultilevel"/>
    <w:tmpl w:val="16E0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E035F"/>
    <w:multiLevelType w:val="hybridMultilevel"/>
    <w:tmpl w:val="107E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93E42"/>
    <w:multiLevelType w:val="hybridMultilevel"/>
    <w:tmpl w:val="4F42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803BB"/>
    <w:multiLevelType w:val="hybridMultilevel"/>
    <w:tmpl w:val="BC0E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A48A4"/>
    <w:multiLevelType w:val="hybridMultilevel"/>
    <w:tmpl w:val="113A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67B9D"/>
    <w:multiLevelType w:val="hybridMultilevel"/>
    <w:tmpl w:val="2E70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D6D71"/>
    <w:multiLevelType w:val="hybridMultilevel"/>
    <w:tmpl w:val="D072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D3166"/>
    <w:multiLevelType w:val="hybridMultilevel"/>
    <w:tmpl w:val="9088511A"/>
    <w:lvl w:ilvl="0" w:tplc="AA0295F2">
      <w:start w:val="1"/>
      <w:numFmt w:val="bullet"/>
      <w:lvlText w:val="•"/>
      <w:lvlJc w:val="left"/>
      <w:pPr>
        <w:ind w:left="720" w:hanging="360"/>
      </w:pPr>
    </w:lvl>
    <w:lvl w:ilvl="1" w:tplc="D2A4550C">
      <w:numFmt w:val="decimal"/>
      <w:lvlText w:val=""/>
      <w:lvlJc w:val="left"/>
    </w:lvl>
    <w:lvl w:ilvl="2" w:tplc="3E0A5C24">
      <w:numFmt w:val="decimal"/>
      <w:lvlText w:val=""/>
      <w:lvlJc w:val="left"/>
    </w:lvl>
    <w:lvl w:ilvl="3" w:tplc="32D8CE10">
      <w:numFmt w:val="decimal"/>
      <w:lvlText w:val=""/>
      <w:lvlJc w:val="left"/>
    </w:lvl>
    <w:lvl w:ilvl="4" w:tplc="D5C0CD7C">
      <w:numFmt w:val="decimal"/>
      <w:lvlText w:val=""/>
      <w:lvlJc w:val="left"/>
    </w:lvl>
    <w:lvl w:ilvl="5" w:tplc="8DCAF07A">
      <w:numFmt w:val="decimal"/>
      <w:lvlText w:val=""/>
      <w:lvlJc w:val="left"/>
    </w:lvl>
    <w:lvl w:ilvl="6" w:tplc="FD8A4360">
      <w:numFmt w:val="decimal"/>
      <w:lvlText w:val=""/>
      <w:lvlJc w:val="left"/>
    </w:lvl>
    <w:lvl w:ilvl="7" w:tplc="1A3E122A">
      <w:numFmt w:val="decimal"/>
      <w:lvlText w:val=""/>
      <w:lvlJc w:val="left"/>
    </w:lvl>
    <w:lvl w:ilvl="8" w:tplc="59822400">
      <w:numFmt w:val="decimal"/>
      <w:lvlText w:val=""/>
      <w:lvlJc w:val="left"/>
    </w:lvl>
  </w:abstractNum>
  <w:abstractNum w:abstractNumId="12" w15:restartNumberingAfterBreak="0">
    <w:nsid w:val="6CD44A9E"/>
    <w:multiLevelType w:val="hybridMultilevel"/>
    <w:tmpl w:val="8D9A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902D7"/>
    <w:multiLevelType w:val="hybridMultilevel"/>
    <w:tmpl w:val="63E4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84B8F"/>
    <w:multiLevelType w:val="hybridMultilevel"/>
    <w:tmpl w:val="E092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361804">
    <w:abstractNumId w:val="0"/>
    <w:lvlOverride w:ilvl="0">
      <w:startOverride w:val="1"/>
    </w:lvlOverride>
  </w:num>
  <w:num w:numId="2" w16cid:durableId="2020693118">
    <w:abstractNumId w:val="11"/>
    <w:lvlOverride w:ilvl="0">
      <w:startOverride w:val="1"/>
    </w:lvlOverride>
  </w:num>
  <w:num w:numId="3" w16cid:durableId="1874926845">
    <w:abstractNumId w:val="10"/>
  </w:num>
  <w:num w:numId="4" w16cid:durableId="1825386668">
    <w:abstractNumId w:val="12"/>
  </w:num>
  <w:num w:numId="5" w16cid:durableId="71315039">
    <w:abstractNumId w:val="5"/>
  </w:num>
  <w:num w:numId="6" w16cid:durableId="1171795251">
    <w:abstractNumId w:val="7"/>
  </w:num>
  <w:num w:numId="7" w16cid:durableId="309097619">
    <w:abstractNumId w:val="14"/>
  </w:num>
  <w:num w:numId="8" w16cid:durableId="232352652">
    <w:abstractNumId w:val="4"/>
  </w:num>
  <w:num w:numId="9" w16cid:durableId="200748499">
    <w:abstractNumId w:val="3"/>
  </w:num>
  <w:num w:numId="10" w16cid:durableId="2120054785">
    <w:abstractNumId w:val="1"/>
  </w:num>
  <w:num w:numId="11" w16cid:durableId="1704096000">
    <w:abstractNumId w:val="9"/>
  </w:num>
  <w:num w:numId="12" w16cid:durableId="1721633510">
    <w:abstractNumId w:val="8"/>
  </w:num>
  <w:num w:numId="13" w16cid:durableId="472404745">
    <w:abstractNumId w:val="6"/>
  </w:num>
  <w:num w:numId="14" w16cid:durableId="1853448659">
    <w:abstractNumId w:val="2"/>
  </w:num>
  <w:num w:numId="15" w16cid:durableId="1902253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51"/>
    <w:rsid w:val="00391961"/>
    <w:rsid w:val="009D4A1F"/>
    <w:rsid w:val="00BE3B20"/>
    <w:rsid w:val="00CB2512"/>
    <w:rsid w:val="00D417E3"/>
    <w:rsid w:val="00E22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2A4958"/>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2923</Words>
  <Characters>17512</Characters>
  <Application>Microsoft Office Word</Application>
  <DocSecurity>0</DocSecurity>
  <Lines>673</Lines>
  <Paragraphs>385</Paragraphs>
  <ScaleCrop>false</ScaleCrop>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4</cp:revision>
  <dcterms:created xsi:type="dcterms:W3CDTF">2026-02-21T16:24:00Z</dcterms:created>
  <dcterms:modified xsi:type="dcterms:W3CDTF">2026-02-23T09:20:00Z</dcterms:modified>
</cp:coreProperties>
</file>